
<file path=[Content_Types].xml><?xml version="1.0" encoding="utf-8"?>
<Types xmlns="http://schemas.openxmlformats.org/package/2006/content-types">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1.xml" ContentType="application/vnd.openxmlformats-officedocument.wordprocessingml.footer+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223654" w14:textId="77777777" w:rsidR="004F7593" w:rsidRDefault="00B544FE">
      <w:r>
        <w:rPr>
          <w:noProof/>
          <w:lang w:eastAsia="en-GB"/>
        </w:rPr>
        <mc:AlternateContent>
          <mc:Choice Requires="wps">
            <w:drawing>
              <wp:anchor distT="0" distB="0" distL="114300" distR="114300" simplePos="0" relativeHeight="251662336" behindDoc="0" locked="0" layoutInCell="1" allowOverlap="1" wp14:anchorId="1FBFA3DC" wp14:editId="15FDDF2E">
                <wp:simplePos x="0" y="0"/>
                <wp:positionH relativeFrom="margin">
                  <wp:align>left</wp:align>
                </wp:positionH>
                <wp:positionV relativeFrom="paragraph">
                  <wp:posOffset>-49258</wp:posOffset>
                </wp:positionV>
                <wp:extent cx="6686550" cy="85725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6686550" cy="8572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88BF1FE" w14:textId="77777777" w:rsidR="004F7593" w:rsidRPr="0013696A" w:rsidRDefault="00B544FE" w:rsidP="003160D7">
                            <w:pPr>
                              <w:jc w:val="center"/>
                              <w:rPr>
                                <w:b/>
                                <w:sz w:val="36"/>
                                <w:szCs w:val="36"/>
                              </w:rPr>
                            </w:pPr>
                            <w:r w:rsidRPr="0013696A">
                              <w:rPr>
                                <w:b/>
                                <w:sz w:val="36"/>
                                <w:szCs w:val="36"/>
                              </w:rPr>
                              <w:t>SERVICE DELIVERY PLAN</w:t>
                            </w:r>
                            <w:r>
                              <w:rPr>
                                <w:b/>
                                <w:sz w:val="36"/>
                                <w:szCs w:val="36"/>
                              </w:rPr>
                              <w:t xml:space="preserve"> 202</w:t>
                            </w:r>
                            <w:r w:rsidR="004C5A01">
                              <w:rPr>
                                <w:b/>
                                <w:sz w:val="36"/>
                                <w:szCs w:val="36"/>
                              </w:rPr>
                              <w:t>4</w:t>
                            </w:r>
                            <w:r>
                              <w:rPr>
                                <w:b/>
                                <w:sz w:val="36"/>
                                <w:szCs w:val="36"/>
                              </w:rPr>
                              <w:t>-2</w:t>
                            </w:r>
                            <w:r w:rsidR="004C5A01">
                              <w:rPr>
                                <w:b/>
                                <w:sz w:val="36"/>
                                <w:szCs w:val="36"/>
                              </w:rPr>
                              <w:t>5</w:t>
                            </w:r>
                            <w:r w:rsidRPr="0013696A">
                              <w:rPr>
                                <w:b/>
                                <w:sz w:val="36"/>
                                <w:szCs w:val="36"/>
                              </w:rPr>
                              <w:t>:</w:t>
                            </w:r>
                          </w:p>
                          <w:p w14:paraId="5BCF8160" w14:textId="77777777" w:rsidR="004F7593" w:rsidRPr="0013696A" w:rsidRDefault="00B544FE" w:rsidP="003160D7">
                            <w:pPr>
                              <w:jc w:val="center"/>
                              <w:rPr>
                                <w:b/>
                                <w:sz w:val="36"/>
                                <w:szCs w:val="36"/>
                              </w:rPr>
                            </w:pPr>
                            <w:r>
                              <w:rPr>
                                <w:b/>
                                <w:sz w:val="36"/>
                                <w:szCs w:val="36"/>
                              </w:rPr>
                              <w:t>July</w:t>
                            </w:r>
                            <w:r w:rsidR="002E22CE">
                              <w:rPr>
                                <w:b/>
                                <w:sz w:val="36"/>
                                <w:szCs w:val="36"/>
                              </w:rPr>
                              <w:t xml:space="preserve"> to </w:t>
                            </w:r>
                            <w:r>
                              <w:rPr>
                                <w:b/>
                                <w:sz w:val="36"/>
                                <w:szCs w:val="36"/>
                              </w:rPr>
                              <w:t>September</w:t>
                            </w:r>
                            <w:r w:rsidR="002E22CE">
                              <w:rPr>
                                <w:b/>
                                <w:sz w:val="36"/>
                                <w:szCs w:val="36"/>
                              </w:rPr>
                              <w:t xml:space="preserve"> 202</w:t>
                            </w:r>
                            <w:r w:rsidR="004C5A01">
                              <w:rPr>
                                <w:b/>
                                <w:sz w:val="36"/>
                                <w:szCs w:val="36"/>
                              </w:rPr>
                              <w:t>4</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1FBFA3DC" id="Rectangle 2" o:spid="_x0000_s1026" style="position:absolute;margin-left:0;margin-top:-3.9pt;width:526.5pt;height:67.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nNpQQIAANwEAAAOAAAAZHJzL2Uyb0RvYy54bWysVMGO2jAQvVfqP1i+lwQkKIoIK8Rqe0G7&#10;qLvVno1jk0iO7Y4NCf36ju0Qqt1VD1U5mLFn5nnmeV5Wd32ryFmAa4wu6XSSUyI0N1WjjyX98fLw&#10;ZUmJ80xXTBktSnoRjt6tP39adbYQM1MbVQkgCKJd0dmS1t7bIsscr0XL3MRYodEpDbTM4xaOWQWs&#10;Q/RWZbM8X2SdgcqC4cI5PL1PTrqO+FIK7p+kdMITVVKszccV4noIa7ZeseIIzNYNH8pg/1BFyxqN&#10;l45Q98wzcoLmHVTbcDDOSD/hps2MlA0XsQfsZpq/6ea5ZlbEXpAcZ0ea3P+D5Y/nZ7sHpKGzrnBo&#10;hi56CW34x/pIH8m6jGSJ3hOOh4vFcjGfI6ccfcv51xnaCJPdsi04/02YlgSjpICPETli553zKfQa&#10;gnm3+6PlL0qEEpT+LiRpKrxxFrPjaIitAnJm+KiMc6H9NLlqVol0PM/xN9QzZsTqImBAlo1SI/YA&#10;EMbuPXaqdYgPqSJO1pic/62wlDxmxJuN9mNy22gDHwEo7Gq4OcVfSUrUBJZ8f+gxJJgHU132QMCk&#10;EXeWPzRI+445v2eAM40vhTr1T7hIZbqSmsGipDbw66PzEI+jhl5KOtRISd3PEwNBiT61W4PsT1Hd&#10;lkcT8cGrqynBtK8ozU1AQBfTHHFKyj1cN1ufdIji5mKziWEoCsv8Tj9bHsADWWFEXvpXBnaYI48T&#10;+Giu2mDFm3FKsQNXiZVhgxKKEzDIPWj0z32Mun2U1r8BAAD//wMAUEsDBBQABgAIAAAAIQByWUBE&#10;2wAAAAgBAAAPAAAAZHJzL2Rvd25yZXYueG1sTI/NTsNADITvSLzDypW4tZsGQVDIpkKVuCBxaOEB&#10;3KzJpt2fKLtpkrfHPcHN9lgz31S72VlxpSF2wSvYbjIQ5JugO98q+P56X7+AiAm9Rhs8KVgowq6+&#10;v6uw1GHyB7oeUyvYxMcSFZiU+lLK2BhyGDehJ8/aTxgcJl6HVuoBJzZ3VuZZ9iwddp4TDPa0N9Rc&#10;jqPjEKTDsi2m/eXTzB8d2eVM46LUw2p+ewWRaE5/z3DDZ3SomekURq+jsAq4SFKwLpj/pmZPj3w5&#10;8ZQXOci6kv8L1L8AAAD//wMAUEsBAi0AFAAGAAgAAAAhALaDOJL+AAAA4QEAABMAAAAAAAAAAAAA&#10;AAAAAAAAAFtDb250ZW50X1R5cGVzXS54bWxQSwECLQAUAAYACAAAACEAOP0h/9YAAACUAQAACwAA&#10;AAAAAAAAAAAAAAAvAQAAX3JlbHMvLnJlbHNQSwECLQAUAAYACAAAACEAO+JzaUECAADcBAAADgAA&#10;AAAAAAAAAAAAAAAuAgAAZHJzL2Uyb0RvYy54bWxQSwECLQAUAAYACAAAACEAcllARNsAAAAIAQAA&#10;DwAAAAAAAAAAAAAAAACbBAAAZHJzL2Rvd25yZXYueG1sUEsFBgAAAAAEAAQA8wAAAKMFAAAAAA==&#10;" fillcolor="#5b9bd5 [3204]" strokecolor="#1f4d78 [1604]" strokeweight="1pt">
                <v:textbox>
                  <w:txbxContent>
                    <w:p w14:paraId="688BF1FE" w14:textId="77777777" w:rsidR="004F7593" w:rsidRPr="0013696A" w:rsidRDefault="00B544FE" w:rsidP="003160D7">
                      <w:pPr>
                        <w:jc w:val="center"/>
                        <w:rPr>
                          <w:b/>
                          <w:sz w:val="36"/>
                          <w:szCs w:val="36"/>
                        </w:rPr>
                      </w:pPr>
                      <w:r w:rsidRPr="0013696A">
                        <w:rPr>
                          <w:b/>
                          <w:sz w:val="36"/>
                          <w:szCs w:val="36"/>
                        </w:rPr>
                        <w:t>SERVICE DELIVERY PLAN</w:t>
                      </w:r>
                      <w:r>
                        <w:rPr>
                          <w:b/>
                          <w:sz w:val="36"/>
                          <w:szCs w:val="36"/>
                        </w:rPr>
                        <w:t xml:space="preserve"> 202</w:t>
                      </w:r>
                      <w:r w:rsidR="004C5A01">
                        <w:rPr>
                          <w:b/>
                          <w:sz w:val="36"/>
                          <w:szCs w:val="36"/>
                        </w:rPr>
                        <w:t>4</w:t>
                      </w:r>
                      <w:r>
                        <w:rPr>
                          <w:b/>
                          <w:sz w:val="36"/>
                          <w:szCs w:val="36"/>
                        </w:rPr>
                        <w:t>-2</w:t>
                      </w:r>
                      <w:r w:rsidR="004C5A01">
                        <w:rPr>
                          <w:b/>
                          <w:sz w:val="36"/>
                          <w:szCs w:val="36"/>
                        </w:rPr>
                        <w:t>5</w:t>
                      </w:r>
                      <w:r w:rsidRPr="0013696A">
                        <w:rPr>
                          <w:b/>
                          <w:sz w:val="36"/>
                          <w:szCs w:val="36"/>
                        </w:rPr>
                        <w:t>:</w:t>
                      </w:r>
                    </w:p>
                    <w:p w14:paraId="5BCF8160" w14:textId="77777777" w:rsidR="004F7593" w:rsidRPr="0013696A" w:rsidRDefault="00B544FE" w:rsidP="003160D7">
                      <w:pPr>
                        <w:jc w:val="center"/>
                        <w:rPr>
                          <w:b/>
                          <w:sz w:val="36"/>
                          <w:szCs w:val="36"/>
                        </w:rPr>
                      </w:pPr>
                      <w:r>
                        <w:rPr>
                          <w:b/>
                          <w:sz w:val="36"/>
                          <w:szCs w:val="36"/>
                        </w:rPr>
                        <w:t>July</w:t>
                      </w:r>
                      <w:r w:rsidR="002E22CE">
                        <w:rPr>
                          <w:b/>
                          <w:sz w:val="36"/>
                          <w:szCs w:val="36"/>
                        </w:rPr>
                        <w:t xml:space="preserve"> to </w:t>
                      </w:r>
                      <w:r>
                        <w:rPr>
                          <w:b/>
                          <w:sz w:val="36"/>
                          <w:szCs w:val="36"/>
                        </w:rPr>
                        <w:t>September</w:t>
                      </w:r>
                      <w:r w:rsidR="002E22CE">
                        <w:rPr>
                          <w:b/>
                          <w:sz w:val="36"/>
                          <w:szCs w:val="36"/>
                        </w:rPr>
                        <w:t xml:space="preserve"> 202</w:t>
                      </w:r>
                      <w:r w:rsidR="004C5A01">
                        <w:rPr>
                          <w:b/>
                          <w:sz w:val="36"/>
                          <w:szCs w:val="36"/>
                        </w:rPr>
                        <w:t>4</w:t>
                      </w:r>
                    </w:p>
                  </w:txbxContent>
                </v:textbox>
                <w10:wrap anchorx="margin"/>
              </v:rect>
            </w:pict>
          </mc:Fallback>
        </mc:AlternateContent>
      </w:r>
    </w:p>
    <w:p w14:paraId="658B092F" w14:textId="77777777" w:rsidR="004F7593" w:rsidRDefault="004F7593"/>
    <w:p w14:paraId="21EC33A8" w14:textId="77777777" w:rsidR="004F7593" w:rsidRDefault="004F7593"/>
    <w:p w14:paraId="7D8676DD" w14:textId="77777777" w:rsidR="004F7593" w:rsidRDefault="00B544FE">
      <w:r>
        <w:rPr>
          <w:noProof/>
          <w:lang w:eastAsia="en-GB"/>
        </w:rPr>
        <mc:AlternateContent>
          <mc:Choice Requires="wps">
            <w:drawing>
              <wp:anchor distT="365760" distB="365760" distL="365760" distR="365760" simplePos="0" relativeHeight="251658240" behindDoc="0" locked="0" layoutInCell="1" allowOverlap="1" wp14:anchorId="47679A4A" wp14:editId="6C96D3A9">
                <wp:simplePos x="0" y="0"/>
                <wp:positionH relativeFrom="margin">
                  <wp:posOffset>1762941</wp:posOffset>
                </wp:positionH>
                <wp:positionV relativeFrom="margin">
                  <wp:posOffset>1064623</wp:posOffset>
                </wp:positionV>
                <wp:extent cx="3110230" cy="424180"/>
                <wp:effectExtent l="0" t="0" r="13970" b="13970"/>
                <wp:wrapSquare wrapText="bothSides"/>
                <wp:docPr id="136" name="Text Box 136"/>
                <wp:cNvGraphicFramePr/>
                <a:graphic xmlns:a="http://schemas.openxmlformats.org/drawingml/2006/main">
                  <a:graphicData uri="http://schemas.microsoft.com/office/word/2010/wordprocessingShape">
                    <wps:wsp>
                      <wps:cNvSpPr txBox="1"/>
                      <wps:spPr>
                        <a:xfrm>
                          <a:off x="0" y="0"/>
                          <a:ext cx="3110230" cy="424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0722F3" w14:textId="77777777" w:rsidR="004F7593" w:rsidRPr="008808AA" w:rsidRDefault="00B544FE" w:rsidP="003160D7">
                            <w:pPr>
                              <w:pBdr>
                                <w:top w:val="single" w:sz="12" w:space="4" w:color="2E74B5" w:themeColor="accent1" w:themeShade="BF"/>
                                <w:left w:val="single" w:sz="12" w:space="4" w:color="2E74B5" w:themeColor="accent1" w:themeShade="BF"/>
                                <w:bottom w:val="single" w:sz="12" w:space="6" w:color="2E74B5" w:themeColor="accent1" w:themeShade="BF"/>
                                <w:right w:val="single" w:sz="12" w:space="4" w:color="2E74B5" w:themeColor="accent1" w:themeShade="BF"/>
                              </w:pBdr>
                              <w:shd w:val="clear" w:color="auto" w:fill="BDD6EE" w:themeFill="accent1" w:themeFillTint="66"/>
                              <w:spacing w:line="240" w:lineRule="auto"/>
                              <w:ind w:left="101" w:right="101"/>
                              <w:jc w:val="center"/>
                              <w:rPr>
                                <w:b/>
                                <w:sz w:val="32"/>
                                <w:szCs w:val="32"/>
                              </w:rPr>
                            </w:pPr>
                            <w:r w:rsidRPr="008808AA">
                              <w:rPr>
                                <w:b/>
                                <w:sz w:val="32"/>
                                <w:szCs w:val="32"/>
                              </w:rPr>
                              <w:t>INDEX</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47679A4A" id="_x0000_t202" coordsize="21600,21600" o:spt="202" path="m,l,21600r21600,l21600,xe">
                <v:stroke joinstyle="miter"/>
                <v:path gradientshapeok="t" o:connecttype="rect"/>
              </v:shapetype>
              <v:shape id="Text Box 136" o:spid="_x0000_s1027" type="#_x0000_t202" style="position:absolute;margin-left:138.8pt;margin-top:83.85pt;width:244.9pt;height:33.4pt;z-index:251658240;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4YwWAIAACYFAAAOAAAAZHJzL2Uyb0RvYy54bWysVN1P2zAQf5+0/8Hy+0haGEIRKepATJMQ&#10;IMrEs+vYTTTH551Nk+6v39lJ2orthWkvzsX3u4/fffjyqm8N2yr0DdiSz05yzpSVUDV2U/Lvz7ef&#10;LjjzQdhKGLCq5Dvl+dXi44fLzhVqDjWYSiEjJ9YXnSt5HYIrsszLWrXCn4BTlpQasBWBfnGTVSg6&#10;8t6abJ7n51kHWDkEqbyn25tByRfJv9ZKhgetvQrMlJxyC+nEdK7jmS0uRbFB4epGjmmIf8iiFY2l&#10;oHtXNyII9orNH67aRiJ40OFEQpuB1o1UiQOxmeVv2Kxq4VTiQsXxbl8m///cyvvtyj0iC/0X6KmB&#10;sSCd84Wny8in19jGL2XKSE8l3O3LpvrAJF2ezmb5/JRUknRn87PZRaprdrB26MNXBS2LQsmR2pKq&#10;JbZ3PlBEgk6QGMzCbWNMao2xrCv5+ennPBnsNWRhbMSq1OTRzSHzJIWdURFj7JPSrKkSgXiRxktd&#10;G2RbQYMhpFQ2JO7JL6EjSlMS7zEc8Yes3mM88Jgigw1747axgIn9m7SrH1PKesBTIY94RzH0656I&#10;HzV2DdWO+o0wrIJ38rahptwJHx4F0uxTH2mfwwMd2gAVH0aJsxrw19/uI55GkrScdbRLJfc/XwUq&#10;zsw3S8MaF28ScBLWk2Bf22ugLszopXAyiWSAwUyiRmhfaM2XMQqphJUUq+RhEq/DsNH0TEi1XCYQ&#10;rZcT4c6unIyuY1PiiD33LwLdOIeBJvgepi0TxZtxHLBjUYe6jT+0jGlox4cjbvvxf0IdnrfFbwAA&#10;AP//AwBQSwMEFAAGAAgAAAAhABrZrZffAAAACwEAAA8AAABkcnMvZG93bnJldi54bWxMj8tOwzAQ&#10;RfdI/IM1SOyo01LiKsSpEI8dzxYk2DmxSSLscWQ7afh7hhUsR+fq3jPldnaWTSbE3qOE5SIDZrDx&#10;usdWwuv+7mwDLCaFWlmPRsK3ibCtjo9KVWh/wBcz7VLLqARjoSR0KQ0F57HpjFNx4QeDxD59cCrR&#10;GVqugzpQubN8lWU5d6pHWujUYK4703ztRifBvsdwX2fpY7ppH9LzEx/fbpePUp6ezFeXwJKZ018Y&#10;fvVJHSpyqv2IOjIrYSVETlECuRDAKCFysQZWEzpfXwCvSv7/h+oHAAD//wMAUEsBAi0AFAAGAAgA&#10;AAAhALaDOJL+AAAA4QEAABMAAAAAAAAAAAAAAAAAAAAAAFtDb250ZW50X1R5cGVzXS54bWxQSwEC&#10;LQAUAAYACAAAACEAOP0h/9YAAACUAQAACwAAAAAAAAAAAAAAAAAvAQAAX3JlbHMvLnJlbHNQSwEC&#10;LQAUAAYACAAAACEAaheGMFgCAAAmBQAADgAAAAAAAAAAAAAAAAAuAgAAZHJzL2Uyb0RvYy54bWxQ&#10;SwECLQAUAAYACAAAACEAGtmtl98AAAALAQAADwAAAAAAAAAAAAAAAACyBAAAZHJzL2Rvd25yZXYu&#10;eG1sUEsFBgAAAAAEAAQA8wAAAL4FAAAAAA==&#10;" filled="f" stroked="f" strokeweight=".5pt">
                <v:textbox inset="0,0,0,0">
                  <w:txbxContent>
                    <w:p w14:paraId="030722F3" w14:textId="77777777" w:rsidR="004F7593" w:rsidRPr="008808AA" w:rsidRDefault="00B544FE" w:rsidP="003160D7">
                      <w:pPr>
                        <w:pBdr>
                          <w:top w:val="single" w:sz="12" w:space="4" w:color="2E74B5" w:themeColor="accent1" w:themeShade="BF"/>
                          <w:left w:val="single" w:sz="12" w:space="4" w:color="2E74B5" w:themeColor="accent1" w:themeShade="BF"/>
                          <w:bottom w:val="single" w:sz="12" w:space="6" w:color="2E74B5" w:themeColor="accent1" w:themeShade="BF"/>
                          <w:right w:val="single" w:sz="12" w:space="4" w:color="2E74B5" w:themeColor="accent1" w:themeShade="BF"/>
                        </w:pBdr>
                        <w:shd w:val="clear" w:color="auto" w:fill="BDD6EE" w:themeFill="accent1" w:themeFillTint="66"/>
                        <w:spacing w:line="240" w:lineRule="auto"/>
                        <w:ind w:left="101" w:right="101"/>
                        <w:jc w:val="center"/>
                        <w:rPr>
                          <w:b/>
                          <w:sz w:val="32"/>
                          <w:szCs w:val="32"/>
                        </w:rPr>
                      </w:pPr>
                      <w:r w:rsidRPr="008808AA">
                        <w:rPr>
                          <w:b/>
                          <w:sz w:val="32"/>
                          <w:szCs w:val="32"/>
                        </w:rPr>
                        <w:t>INDEX</w:t>
                      </w:r>
                    </w:p>
                  </w:txbxContent>
                </v:textbox>
                <w10:wrap type="square" anchorx="margin" anchory="margin"/>
              </v:shape>
            </w:pict>
          </mc:Fallback>
        </mc:AlternateContent>
      </w:r>
    </w:p>
    <w:p w14:paraId="2A8AFD63" w14:textId="77777777" w:rsidR="004F7593" w:rsidRDefault="004F7593"/>
    <w:p w14:paraId="3127979B" w14:textId="77777777" w:rsidR="004F7593" w:rsidRDefault="004F7593"/>
    <w:tbl>
      <w:tblPr>
        <w:tblStyle w:val="TableGrid"/>
        <w:tblW w:w="0" w:type="auto"/>
        <w:tblInd w:w="2830" w:type="dxa"/>
        <w:tblBorders>
          <w:top w:val="single" w:sz="12" w:space="0" w:color="2E74B5" w:themeColor="accent1" w:themeShade="BF"/>
          <w:left w:val="single" w:sz="12" w:space="0" w:color="2E74B5" w:themeColor="accent1" w:themeShade="BF"/>
          <w:bottom w:val="single" w:sz="12" w:space="0" w:color="2E74B5" w:themeColor="accent1" w:themeShade="BF"/>
          <w:right w:val="single" w:sz="12" w:space="0" w:color="2E74B5" w:themeColor="accent1" w:themeShade="BF"/>
          <w:insideH w:val="single" w:sz="12" w:space="0" w:color="2E74B5" w:themeColor="accent1" w:themeShade="BF"/>
          <w:insideV w:val="single" w:sz="12" w:space="0" w:color="2E74B5" w:themeColor="accent1" w:themeShade="BF"/>
        </w:tblBorders>
        <w:shd w:val="clear" w:color="auto" w:fill="DEEAF6" w:themeFill="accent1" w:themeFillTint="33"/>
        <w:tblLook w:val="04A0" w:firstRow="1" w:lastRow="0" w:firstColumn="1" w:lastColumn="0" w:noHBand="0" w:noVBand="1"/>
      </w:tblPr>
      <w:tblGrid>
        <w:gridCol w:w="4851"/>
      </w:tblGrid>
      <w:tr w:rsidR="00D34955" w14:paraId="447DCC98" w14:textId="77777777" w:rsidTr="003160D7">
        <w:trPr>
          <w:trHeight w:val="7234"/>
        </w:trPr>
        <w:tc>
          <w:tcPr>
            <w:tcW w:w="4851" w:type="dxa"/>
            <w:shd w:val="clear" w:color="auto" w:fill="DEEAF6" w:themeFill="accent1" w:themeFillTint="33"/>
          </w:tcPr>
          <w:p w14:paraId="56EFEA93" w14:textId="77777777" w:rsidR="004F7593" w:rsidRDefault="004F7593" w:rsidP="003160D7">
            <w:pPr>
              <w:rPr>
                <w:b/>
                <w:sz w:val="28"/>
                <w:szCs w:val="28"/>
              </w:rPr>
            </w:pPr>
          </w:p>
          <w:p w14:paraId="4D06FE5D" w14:textId="77777777" w:rsidR="004F7593" w:rsidRPr="008808AA" w:rsidRDefault="00B544FE" w:rsidP="003160D7">
            <w:pPr>
              <w:jc w:val="center"/>
              <w:rPr>
                <w:b/>
                <w:sz w:val="28"/>
                <w:szCs w:val="28"/>
              </w:rPr>
            </w:pPr>
            <w:r>
              <w:rPr>
                <w:b/>
                <w:sz w:val="28"/>
                <w:szCs w:val="28"/>
              </w:rPr>
              <w:t xml:space="preserve">Total emergency calls </w:t>
            </w:r>
          </w:p>
          <w:p w14:paraId="20592462" w14:textId="77777777" w:rsidR="004F7593" w:rsidRPr="008808AA" w:rsidRDefault="004F7593" w:rsidP="003160D7">
            <w:pPr>
              <w:jc w:val="center"/>
              <w:rPr>
                <w:b/>
                <w:sz w:val="28"/>
                <w:szCs w:val="28"/>
              </w:rPr>
            </w:pPr>
          </w:p>
          <w:p w14:paraId="16D57AFA" w14:textId="77777777" w:rsidR="004F7593" w:rsidRPr="008808AA" w:rsidRDefault="00B544FE" w:rsidP="003160D7">
            <w:pPr>
              <w:jc w:val="center"/>
              <w:rPr>
                <w:b/>
                <w:sz w:val="28"/>
                <w:szCs w:val="28"/>
              </w:rPr>
            </w:pPr>
            <w:r>
              <w:rPr>
                <w:b/>
                <w:sz w:val="28"/>
                <w:szCs w:val="28"/>
              </w:rPr>
              <w:t xml:space="preserve">Total incidents </w:t>
            </w:r>
          </w:p>
          <w:p w14:paraId="16DB8537" w14:textId="77777777" w:rsidR="004F7593" w:rsidRPr="008808AA" w:rsidRDefault="004F7593" w:rsidP="003160D7">
            <w:pPr>
              <w:jc w:val="center"/>
              <w:rPr>
                <w:b/>
                <w:sz w:val="28"/>
                <w:szCs w:val="28"/>
              </w:rPr>
            </w:pPr>
          </w:p>
          <w:p w14:paraId="7E9251E3" w14:textId="77777777" w:rsidR="004F7593" w:rsidRPr="008808AA" w:rsidRDefault="00B544FE" w:rsidP="003160D7">
            <w:pPr>
              <w:jc w:val="center"/>
              <w:rPr>
                <w:b/>
                <w:sz w:val="28"/>
                <w:szCs w:val="28"/>
              </w:rPr>
            </w:pPr>
            <w:r>
              <w:rPr>
                <w:b/>
                <w:sz w:val="28"/>
                <w:szCs w:val="28"/>
              </w:rPr>
              <w:t>Total fires</w:t>
            </w:r>
          </w:p>
          <w:p w14:paraId="4E5C7989" w14:textId="77777777" w:rsidR="004F7593" w:rsidRPr="008808AA" w:rsidRDefault="004F7593" w:rsidP="003160D7">
            <w:pPr>
              <w:jc w:val="center"/>
              <w:rPr>
                <w:b/>
                <w:sz w:val="28"/>
                <w:szCs w:val="28"/>
              </w:rPr>
            </w:pPr>
          </w:p>
          <w:p w14:paraId="4CAF5137" w14:textId="77777777" w:rsidR="004F7593" w:rsidRPr="008808AA" w:rsidRDefault="00B544FE" w:rsidP="003160D7">
            <w:pPr>
              <w:jc w:val="center"/>
              <w:rPr>
                <w:b/>
                <w:sz w:val="28"/>
                <w:szCs w:val="28"/>
              </w:rPr>
            </w:pPr>
            <w:r>
              <w:rPr>
                <w:b/>
                <w:sz w:val="28"/>
                <w:szCs w:val="28"/>
              </w:rPr>
              <w:t xml:space="preserve">Primary fires </w:t>
            </w:r>
          </w:p>
          <w:p w14:paraId="7CCB79A7" w14:textId="77777777" w:rsidR="004F7593" w:rsidRPr="008808AA" w:rsidRDefault="004F7593" w:rsidP="003160D7">
            <w:pPr>
              <w:jc w:val="center"/>
              <w:rPr>
                <w:b/>
                <w:sz w:val="28"/>
                <w:szCs w:val="28"/>
              </w:rPr>
            </w:pPr>
          </w:p>
          <w:p w14:paraId="2506F13C" w14:textId="77777777" w:rsidR="004F7593" w:rsidRDefault="00B544FE" w:rsidP="003160D7">
            <w:pPr>
              <w:jc w:val="center"/>
              <w:rPr>
                <w:b/>
                <w:sz w:val="28"/>
                <w:szCs w:val="28"/>
              </w:rPr>
            </w:pPr>
            <w:r>
              <w:rPr>
                <w:b/>
                <w:sz w:val="28"/>
                <w:szCs w:val="28"/>
              </w:rPr>
              <w:t xml:space="preserve">Secondary fires </w:t>
            </w:r>
          </w:p>
          <w:p w14:paraId="16613E20" w14:textId="77777777" w:rsidR="004F7593" w:rsidRDefault="004F7593" w:rsidP="003160D7">
            <w:pPr>
              <w:jc w:val="center"/>
              <w:rPr>
                <w:b/>
                <w:sz w:val="28"/>
                <w:szCs w:val="28"/>
              </w:rPr>
            </w:pPr>
          </w:p>
          <w:p w14:paraId="2B99155D" w14:textId="77777777" w:rsidR="004F7593" w:rsidRPr="008808AA" w:rsidRDefault="00B544FE" w:rsidP="003160D7">
            <w:pPr>
              <w:jc w:val="center"/>
              <w:rPr>
                <w:b/>
                <w:sz w:val="28"/>
                <w:szCs w:val="28"/>
              </w:rPr>
            </w:pPr>
            <w:r>
              <w:rPr>
                <w:b/>
                <w:sz w:val="28"/>
                <w:szCs w:val="28"/>
              </w:rPr>
              <w:t>Special services</w:t>
            </w:r>
          </w:p>
          <w:p w14:paraId="2AD54C0E" w14:textId="77777777" w:rsidR="004F7593" w:rsidRPr="008808AA" w:rsidRDefault="004F7593" w:rsidP="003160D7">
            <w:pPr>
              <w:jc w:val="center"/>
              <w:rPr>
                <w:b/>
                <w:sz w:val="28"/>
                <w:szCs w:val="28"/>
              </w:rPr>
            </w:pPr>
          </w:p>
          <w:p w14:paraId="53D38290" w14:textId="77777777" w:rsidR="004F7593" w:rsidRDefault="00B544FE" w:rsidP="003160D7">
            <w:pPr>
              <w:jc w:val="center"/>
              <w:rPr>
                <w:b/>
                <w:sz w:val="28"/>
                <w:szCs w:val="28"/>
              </w:rPr>
            </w:pPr>
            <w:r>
              <w:rPr>
                <w:b/>
                <w:sz w:val="28"/>
                <w:szCs w:val="28"/>
              </w:rPr>
              <w:t xml:space="preserve">False alarms </w:t>
            </w:r>
          </w:p>
          <w:p w14:paraId="7444A11B" w14:textId="77777777" w:rsidR="004F7593" w:rsidRDefault="004F7593" w:rsidP="003160D7">
            <w:pPr>
              <w:jc w:val="center"/>
              <w:rPr>
                <w:b/>
                <w:sz w:val="28"/>
                <w:szCs w:val="28"/>
              </w:rPr>
            </w:pPr>
          </w:p>
          <w:p w14:paraId="07E57E00" w14:textId="77777777" w:rsidR="004F7593" w:rsidRPr="008808AA" w:rsidRDefault="00B544FE" w:rsidP="003160D7">
            <w:pPr>
              <w:jc w:val="center"/>
              <w:rPr>
                <w:b/>
                <w:sz w:val="28"/>
                <w:szCs w:val="28"/>
              </w:rPr>
            </w:pPr>
            <w:r>
              <w:rPr>
                <w:b/>
                <w:sz w:val="28"/>
                <w:szCs w:val="28"/>
              </w:rPr>
              <w:t>Attendance standard</w:t>
            </w:r>
          </w:p>
          <w:p w14:paraId="0A1F7CC7" w14:textId="77777777" w:rsidR="004F7593" w:rsidRPr="008808AA" w:rsidRDefault="004F7593" w:rsidP="003160D7">
            <w:pPr>
              <w:jc w:val="center"/>
              <w:rPr>
                <w:b/>
                <w:sz w:val="28"/>
                <w:szCs w:val="28"/>
              </w:rPr>
            </w:pPr>
          </w:p>
          <w:p w14:paraId="7502894D" w14:textId="77777777" w:rsidR="004F7593" w:rsidRDefault="00B544FE" w:rsidP="003160D7">
            <w:pPr>
              <w:jc w:val="center"/>
              <w:rPr>
                <w:b/>
                <w:sz w:val="28"/>
                <w:szCs w:val="28"/>
              </w:rPr>
            </w:pPr>
            <w:r w:rsidRPr="008808AA">
              <w:rPr>
                <w:b/>
                <w:sz w:val="28"/>
                <w:szCs w:val="28"/>
              </w:rPr>
              <w:t xml:space="preserve">Sickness </w:t>
            </w:r>
            <w:r>
              <w:rPr>
                <w:b/>
                <w:sz w:val="28"/>
                <w:szCs w:val="28"/>
              </w:rPr>
              <w:t>a</w:t>
            </w:r>
            <w:r w:rsidRPr="008808AA">
              <w:rPr>
                <w:b/>
                <w:sz w:val="28"/>
                <w:szCs w:val="28"/>
              </w:rPr>
              <w:t>bsence</w:t>
            </w:r>
          </w:p>
          <w:p w14:paraId="7D5A32D9" w14:textId="77777777" w:rsidR="004F7593" w:rsidRDefault="004F7593" w:rsidP="003160D7">
            <w:pPr>
              <w:jc w:val="center"/>
              <w:rPr>
                <w:b/>
                <w:sz w:val="28"/>
                <w:szCs w:val="28"/>
              </w:rPr>
            </w:pPr>
          </w:p>
          <w:p w14:paraId="085DB3FC" w14:textId="77777777" w:rsidR="004F7593" w:rsidRPr="008808AA" w:rsidRDefault="00B544FE" w:rsidP="003160D7">
            <w:pPr>
              <w:jc w:val="center"/>
              <w:rPr>
                <w:b/>
                <w:sz w:val="28"/>
                <w:szCs w:val="28"/>
              </w:rPr>
            </w:pPr>
            <w:r>
              <w:rPr>
                <w:b/>
                <w:sz w:val="28"/>
                <w:szCs w:val="28"/>
              </w:rPr>
              <w:t>Carbon output</w:t>
            </w:r>
          </w:p>
          <w:p w14:paraId="0DCE757C" w14:textId="77777777" w:rsidR="004F7593" w:rsidRDefault="004F7593"/>
        </w:tc>
      </w:tr>
    </w:tbl>
    <w:p w14:paraId="291EC60D" w14:textId="77777777" w:rsidR="004F7593" w:rsidRDefault="004F7593"/>
    <w:tbl>
      <w:tblPr>
        <w:tblStyle w:val="TableGrid"/>
        <w:tblW w:w="0" w:type="auto"/>
        <w:tblInd w:w="2830" w:type="dxa"/>
        <w:tblBorders>
          <w:top w:val="single" w:sz="12" w:space="0" w:color="2E74B5" w:themeColor="accent1" w:themeShade="BF"/>
          <w:left w:val="single" w:sz="12" w:space="0" w:color="2E74B5" w:themeColor="accent1" w:themeShade="BF"/>
          <w:bottom w:val="single" w:sz="12" w:space="0" w:color="2E74B5" w:themeColor="accent1" w:themeShade="BF"/>
          <w:right w:val="single" w:sz="12" w:space="0" w:color="2E74B5" w:themeColor="accent1" w:themeShade="BF"/>
          <w:insideH w:val="none" w:sz="0" w:space="0" w:color="auto"/>
          <w:insideV w:val="none" w:sz="0" w:space="0" w:color="auto"/>
        </w:tblBorders>
        <w:tblLook w:val="04A0" w:firstRow="1" w:lastRow="0" w:firstColumn="1" w:lastColumn="0" w:noHBand="0" w:noVBand="1"/>
      </w:tblPr>
      <w:tblGrid>
        <w:gridCol w:w="4820"/>
      </w:tblGrid>
      <w:tr w:rsidR="00D34955" w14:paraId="3D42A539" w14:textId="77777777" w:rsidTr="003160D7">
        <w:trPr>
          <w:trHeight w:val="2027"/>
        </w:trPr>
        <w:tc>
          <w:tcPr>
            <w:tcW w:w="4820" w:type="dxa"/>
            <w:shd w:val="clear" w:color="auto" w:fill="DEEAF6" w:themeFill="accent1" w:themeFillTint="33"/>
          </w:tcPr>
          <w:p w14:paraId="1CA0AA9B" w14:textId="77777777" w:rsidR="004F7593" w:rsidRPr="0013696A" w:rsidRDefault="00B544FE" w:rsidP="003160D7">
            <w:pPr>
              <w:jc w:val="center"/>
              <w:rPr>
                <w:b/>
              </w:rPr>
            </w:pPr>
            <w:r w:rsidRPr="0013696A">
              <w:rPr>
                <w:b/>
              </w:rPr>
              <w:t>Objective:</w:t>
            </w:r>
          </w:p>
          <w:p w14:paraId="5ABDB388" w14:textId="77777777" w:rsidR="004F7593" w:rsidRPr="0013696A" w:rsidRDefault="004F7593">
            <w:pPr>
              <w:rPr>
                <w:b/>
              </w:rPr>
            </w:pPr>
          </w:p>
          <w:p w14:paraId="3A9D3D3A" w14:textId="77777777" w:rsidR="004F7593" w:rsidRPr="0013696A" w:rsidRDefault="00B544FE">
            <w:pPr>
              <w:rPr>
                <w:b/>
              </w:rPr>
            </w:pPr>
            <w:r w:rsidRPr="0013696A">
              <w:rPr>
                <w:b/>
              </w:rPr>
              <w:t>Good performance is reflected on the top bar of each indicator graph. W</w:t>
            </w:r>
            <w:r>
              <w:rPr>
                <w:b/>
              </w:rPr>
              <w:t>e</w:t>
            </w:r>
            <w:r w:rsidRPr="0013696A">
              <w:rPr>
                <w:b/>
              </w:rPr>
              <w:t xml:space="preserve"> use Red, Amber, and Green to indicate how each indicator is performing. Amber reflects an ind</w:t>
            </w:r>
            <w:r>
              <w:rPr>
                <w:b/>
              </w:rPr>
              <w:t>icator is within 10% of target.</w:t>
            </w:r>
          </w:p>
        </w:tc>
      </w:tr>
    </w:tbl>
    <w:p w14:paraId="40C95CAA" w14:textId="77777777" w:rsidR="004F7593" w:rsidRDefault="004F7593" w:rsidP="003160D7">
      <w:pPr>
        <w:jc w:val="center"/>
      </w:pPr>
    </w:p>
    <w:p w14:paraId="07F4C140" w14:textId="77777777" w:rsidR="004F7593" w:rsidRDefault="00B544FE">
      <w:r>
        <w:rPr>
          <w:noProof/>
          <w:lang w:eastAsia="en-GB"/>
        </w:rPr>
        <w:drawing>
          <wp:inline distT="0" distB="0" distL="0" distR="0" wp14:anchorId="7142DEDF" wp14:editId="2D6D012E">
            <wp:extent cx="2599331" cy="780995"/>
            <wp:effectExtent l="0" t="0" r="0" b="635"/>
            <wp:docPr id="7" name="Picture 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Picture"/>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2782337" cy="835981"/>
                    </a:xfrm>
                    <a:prstGeom prst="rect">
                      <a:avLst/>
                    </a:prstGeom>
                    <a:noFill/>
                    <a:ln>
                      <a:noFill/>
                    </a:ln>
                  </pic:spPr>
                </pic:pic>
              </a:graphicData>
            </a:graphic>
          </wp:inline>
        </w:drawing>
      </w:r>
    </w:p>
    <w:p w14:paraId="53A65F68" w14:textId="77777777" w:rsidR="004F7593" w:rsidRDefault="00B544FE">
      <w:r>
        <w:rPr>
          <w:noProof/>
          <w:lang w:eastAsia="en-GB"/>
        </w:rPr>
        <w:lastRenderedPageBreak/>
        <mc:AlternateContent>
          <mc:Choice Requires="wps">
            <w:drawing>
              <wp:anchor distT="0" distB="0" distL="114300" distR="114300" simplePos="0" relativeHeight="251660288" behindDoc="0" locked="0" layoutInCell="1" allowOverlap="1" wp14:anchorId="49D31867" wp14:editId="425C0754">
                <wp:simplePos x="0" y="0"/>
                <wp:positionH relativeFrom="margin">
                  <wp:align>center</wp:align>
                </wp:positionH>
                <wp:positionV relativeFrom="paragraph">
                  <wp:posOffset>-74295</wp:posOffset>
                </wp:positionV>
                <wp:extent cx="6585585" cy="371475"/>
                <wp:effectExtent l="0" t="0" r="24765" b="28575"/>
                <wp:wrapNone/>
                <wp:docPr id="4" name="Rectangle 4"/>
                <wp:cNvGraphicFramePr/>
                <a:graphic xmlns:a="http://schemas.openxmlformats.org/drawingml/2006/main">
                  <a:graphicData uri="http://schemas.microsoft.com/office/word/2010/wordprocessingShape">
                    <wps:wsp>
                      <wps:cNvSpPr/>
                      <wps:spPr>
                        <a:xfrm>
                          <a:off x="0" y="0"/>
                          <a:ext cx="6585585" cy="3714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C421C65" w14:textId="77777777" w:rsidR="004F7593" w:rsidRDefault="00B544FE" w:rsidP="003160D7">
                            <w:pPr>
                              <w:shd w:val="clear" w:color="auto" w:fill="5B9BD5" w:themeFill="accent1"/>
                              <w:jc w:val="center"/>
                              <w:rPr>
                                <w:b/>
                                <w:color w:val="FFFFFF" w:themeColor="background1"/>
                                <w:sz w:val="28"/>
                                <w:szCs w:val="28"/>
                              </w:rPr>
                            </w:pPr>
                            <w:r w:rsidRPr="005F20DB">
                              <w:rPr>
                                <w:b/>
                                <w:color w:val="FFFFFF" w:themeColor="background1"/>
                                <w:sz w:val="28"/>
                                <w:szCs w:val="28"/>
                              </w:rPr>
                              <w:t>BENCHMARK INDICATORS</w:t>
                            </w:r>
                          </w:p>
                          <w:p w14:paraId="3F485138" w14:textId="77777777" w:rsidR="007746FA" w:rsidRPr="005F20DB" w:rsidRDefault="007746FA" w:rsidP="003160D7">
                            <w:pPr>
                              <w:shd w:val="clear" w:color="auto" w:fill="5B9BD5" w:themeFill="accent1"/>
                              <w:jc w:val="center"/>
                              <w:rPr>
                                <w:b/>
                                <w:color w:val="FFFFFF" w:themeColor="background1"/>
                                <w:sz w:val="28"/>
                                <w:szCs w:val="28"/>
                              </w:rP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49D31867" id="Rectangle 4" o:spid="_x0000_s1028" style="position:absolute;margin-left:0;margin-top:-5.85pt;width:518.55pt;height:29.25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F/RgIAAOMEAAAOAAAAZHJzL2Uyb0RvYy54bWysVFFv2jAQfp+0/2D5fSSw0VYRoUJU3Qtq&#10;q9Gpz8axSSTH9s6GhP36ne0QqrbawzSEzNl39/nu830sbvtWkaMA1xhd0ukkp0RobqpG70v68/n+&#10;yw0lzjNdMWW0KOlJOHq7/Pxp0dlCzExtVCWAIIh2RWdLWntviyxzvBYtcxNjhUanNNAyj1vYZxWw&#10;DtFblc3y/CrrDFQWDBfO4eldctJlxJdScP8opROeqJJibT6uENddWLPlghV7YLZu+FAG+4cqWtZo&#10;vHSEumOekQM076DahoNxRvoJN21mpGy4iD1gN9P8TTfbmlkRe0FynB1pcv8Plj8ct/YJkIbOusKh&#10;GbroJbThF+sjfSTrNJIlek84Hl7Nb+b4pYSj7+v19Nv1PLCZXbItOP9dmJYEo6SAjxE5YseN8yn0&#10;HIJ5l/uj5U9KhBKU/iEkaSq8cRaz42iItQJyZPiojHOh/TS5alaJdDzP8TPUM2bE6iJgQJaNUiP2&#10;ABDG7j12qnWID6kiTtaYnP+tsJQ8ZsSbjfZjcttoAx8BKOxquDnFn0lK1ASWfL/rkZtADUaGk52p&#10;Tk9AwKRJd5bfN8j+hjn/xABHG0WAcvWPuEhlupKawaKkNvD7o/MQjxOHXko6lEpJ3a8DA0GJPrRr&#10;g48wRZFbHk3EB6/OpgTTvqBCVwEBXUxzxCkp93DerH2SI2qci9UqhqE2LPMbvbU8gAfOwqQ89y8M&#10;7DBOHgfxwZwlwoo3U5ViB8oSK8MGlRQHYVB9kOrrfYy6/Dct/wAAAP//AwBQSwMEFAAGAAgAAAAh&#10;AKz0s0DbAAAACAEAAA8AAABkcnMvZG93bnJldi54bWxMj8FOwzAQRO9I/IO1SNxax4CaKsSpUCUu&#10;SBxa+gHbeIlD43UUO03y97gnOI5mNPOm3M2uE1caQutZg1pnIIhrb1puNJy+3ldbECEiG+w8k4aF&#10;Auyq+7sSC+MnPtD1GBuRSjgUqMHG2BdShtqSw7D2PXHyvv3gMCY5NNIMOKVy18mnLNtIhy2nBYs9&#10;7S3Vl+Po0gjSYVH5tL982vmjpW75oXHR+vFhfnsFEWmOf2G44Sd0qBLT2Y9sgug0pCNRw0qpHMTN&#10;zp5zBeKs4WWzBVmV8v+B6hcAAP//AwBQSwECLQAUAAYACAAAACEAtoM4kv4AAADhAQAAEwAAAAAA&#10;AAAAAAAAAAAAAAAAW0NvbnRlbnRfVHlwZXNdLnhtbFBLAQItABQABgAIAAAAIQA4/SH/1gAAAJQB&#10;AAALAAAAAAAAAAAAAAAAAC8BAABfcmVscy8ucmVsc1BLAQItABQABgAIAAAAIQC+kRF/RgIAAOME&#10;AAAOAAAAAAAAAAAAAAAAAC4CAABkcnMvZTJvRG9jLnhtbFBLAQItABQABgAIAAAAIQCs9LNA2wAA&#10;AAgBAAAPAAAAAAAAAAAAAAAAAKAEAABkcnMvZG93bnJldi54bWxQSwUGAAAAAAQABADzAAAAqAUA&#10;AAAA&#10;" fillcolor="#5b9bd5 [3204]" strokecolor="#1f4d78 [1604]" strokeweight="1pt">
                <v:textbox>
                  <w:txbxContent>
                    <w:p w14:paraId="6C421C65" w14:textId="77777777" w:rsidR="004F7593" w:rsidRDefault="00B544FE" w:rsidP="003160D7">
                      <w:pPr>
                        <w:shd w:val="clear" w:color="auto" w:fill="5B9BD5" w:themeFill="accent1"/>
                        <w:jc w:val="center"/>
                        <w:rPr>
                          <w:b/>
                          <w:color w:val="FFFFFF" w:themeColor="background1"/>
                          <w:sz w:val="28"/>
                          <w:szCs w:val="28"/>
                        </w:rPr>
                      </w:pPr>
                      <w:r w:rsidRPr="005F20DB">
                        <w:rPr>
                          <w:b/>
                          <w:color w:val="FFFFFF" w:themeColor="background1"/>
                          <w:sz w:val="28"/>
                          <w:szCs w:val="28"/>
                        </w:rPr>
                        <w:t>BENCHMARK INDICATORS</w:t>
                      </w:r>
                    </w:p>
                    <w:p w14:paraId="3F485138" w14:textId="77777777" w:rsidR="007746FA" w:rsidRPr="005F20DB" w:rsidRDefault="007746FA" w:rsidP="003160D7">
                      <w:pPr>
                        <w:shd w:val="clear" w:color="auto" w:fill="5B9BD5" w:themeFill="accent1"/>
                        <w:jc w:val="center"/>
                        <w:rPr>
                          <w:b/>
                          <w:color w:val="FFFFFF" w:themeColor="background1"/>
                          <w:sz w:val="28"/>
                          <w:szCs w:val="28"/>
                        </w:rPr>
                      </w:pPr>
                    </w:p>
                  </w:txbxContent>
                </v:textbox>
                <w10:wrap anchorx="margin"/>
              </v:rect>
            </w:pict>
          </mc:Fallback>
        </mc:AlternateContent>
      </w:r>
    </w:p>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586"/>
        <w:gridCol w:w="249"/>
        <w:gridCol w:w="2376"/>
        <w:gridCol w:w="142"/>
        <w:gridCol w:w="2434"/>
        <w:gridCol w:w="512"/>
        <w:gridCol w:w="2147"/>
      </w:tblGrid>
      <w:tr w:rsidR="00D34955" w14:paraId="134E660D" w14:textId="77777777" w:rsidTr="003160D7">
        <w:trPr>
          <w:trHeight w:val="354"/>
        </w:trPr>
        <w:tc>
          <w:tcPr>
            <w:tcW w:w="10446" w:type="dxa"/>
            <w:gridSpan w:val="7"/>
            <w:shd w:val="clear" w:color="auto" w:fill="5B9BD5" w:themeFill="accent1"/>
          </w:tcPr>
          <w:p w14:paraId="30A70A99" w14:textId="77777777" w:rsidR="004F7593" w:rsidRPr="005F20DB" w:rsidRDefault="00B544FE" w:rsidP="003160D7">
            <w:pPr>
              <w:rPr>
                <w:b/>
                <w:color w:val="FFFFFF" w:themeColor="background1"/>
                <w:sz w:val="28"/>
                <w:szCs w:val="28"/>
              </w:rPr>
            </w:pPr>
            <w:r>
              <w:rPr>
                <w:b/>
                <w:color w:val="FFFFFF" w:themeColor="background1"/>
                <w:sz w:val="28"/>
                <w:szCs w:val="28"/>
              </w:rPr>
              <w:t>TC00 T</w:t>
            </w:r>
            <w:r w:rsidRPr="006C577F">
              <w:rPr>
                <w:b/>
                <w:color w:val="FFFFFF" w:themeColor="background1"/>
                <w:sz w:val="28"/>
                <w:szCs w:val="28"/>
              </w:rPr>
              <w:t>otal number</w:t>
            </w:r>
            <w:r>
              <w:rPr>
                <w:b/>
                <w:color w:val="FFFFFF" w:themeColor="background1"/>
                <w:sz w:val="28"/>
                <w:szCs w:val="28"/>
              </w:rPr>
              <w:t xml:space="preserve"> of emergency calls received</w:t>
            </w:r>
          </w:p>
        </w:tc>
      </w:tr>
      <w:tr w:rsidR="00D34955" w14:paraId="2BCD1B33" w14:textId="77777777" w:rsidTr="003160D7">
        <w:trPr>
          <w:trHeight w:val="567"/>
        </w:trPr>
        <w:tc>
          <w:tcPr>
            <w:tcW w:w="2586" w:type="dxa"/>
            <w:shd w:val="clear" w:color="auto" w:fill="FFFF00"/>
            <w:vAlign w:val="center"/>
          </w:tcPr>
          <w:p w14:paraId="41ADCBBA" w14:textId="77777777" w:rsidR="004F7593" w:rsidRDefault="00B544FE" w:rsidP="003160D7">
            <w:pPr>
              <w:jc w:val="center"/>
            </w:pPr>
            <w:r w:rsidRPr="00C63E5E">
              <w:t>Service Plan Target</w:t>
            </w:r>
          </w:p>
        </w:tc>
        <w:tc>
          <w:tcPr>
            <w:tcW w:w="2625" w:type="dxa"/>
            <w:gridSpan w:val="2"/>
            <w:shd w:val="clear" w:color="auto" w:fill="D9E2F3" w:themeFill="accent5" w:themeFillTint="33"/>
            <w:vAlign w:val="center"/>
          </w:tcPr>
          <w:p w14:paraId="436D7197" w14:textId="77777777" w:rsidR="004F7593" w:rsidRPr="00C63E5E" w:rsidRDefault="00B544FE" w:rsidP="003160D7">
            <w:pPr>
              <w:jc w:val="center"/>
              <w:rPr>
                <w:b/>
              </w:rPr>
            </w:pPr>
            <w:r>
              <w:rPr>
                <w:b/>
              </w:rPr>
              <w:t xml:space="preserve">No target - </w:t>
            </w:r>
            <w:r w:rsidRPr="00F31295">
              <w:rPr>
                <w:b/>
              </w:rPr>
              <w:t>Quality Assurance</w:t>
            </w:r>
            <w:r>
              <w:rPr>
                <w:b/>
              </w:rPr>
              <w:t xml:space="preserve"> </w:t>
            </w:r>
          </w:p>
        </w:tc>
        <w:tc>
          <w:tcPr>
            <w:tcW w:w="3088" w:type="dxa"/>
            <w:gridSpan w:val="3"/>
            <w:shd w:val="clear" w:color="auto" w:fill="FFFF00"/>
            <w:vAlign w:val="center"/>
          </w:tcPr>
          <w:p w14:paraId="58AB9195" w14:textId="77777777" w:rsidR="004F7593" w:rsidRDefault="00B544FE" w:rsidP="003160D7">
            <w:pPr>
              <w:jc w:val="center"/>
            </w:pPr>
            <w:r w:rsidRPr="00C63E5E">
              <w:t>Progress to Date</w:t>
            </w:r>
          </w:p>
        </w:tc>
        <w:tc>
          <w:tcPr>
            <w:tcW w:w="2147" w:type="dxa"/>
            <w:shd w:val="clear" w:color="auto" w:fill="D9E2F3" w:themeFill="accent5" w:themeFillTint="33"/>
            <w:vAlign w:val="center"/>
          </w:tcPr>
          <w:p w14:paraId="48FCF844" w14:textId="77777777" w:rsidR="004F7593" w:rsidRPr="00D04140" w:rsidRDefault="00B544FE" w:rsidP="003160D7">
            <w:pPr>
              <w:jc w:val="center"/>
              <w:rPr>
                <w:b/>
              </w:rPr>
            </w:pPr>
            <w:r>
              <w:rPr>
                <w:b/>
              </w:rPr>
              <w:t>10883</w:t>
            </w:r>
          </w:p>
        </w:tc>
      </w:tr>
      <w:tr w:rsidR="00D34955" w14:paraId="7225C1B9" w14:textId="77777777" w:rsidTr="001557D0">
        <w:tc>
          <w:tcPr>
            <w:tcW w:w="10446" w:type="dxa"/>
            <w:gridSpan w:val="7"/>
          </w:tcPr>
          <w:p w14:paraId="76994CD7" w14:textId="77777777" w:rsidR="004F7593" w:rsidRDefault="00B544FE" w:rsidP="00573A9F">
            <w:pPr>
              <w:jc w:val="center"/>
            </w:pPr>
            <w:r>
              <w:rPr>
                <w:noProof/>
              </w:rPr>
              <w:drawing>
                <wp:inline distT="0" distB="0" distL="0" distR="0" wp14:anchorId="5F91E82C" wp14:editId="7B84C4D6">
                  <wp:extent cx="5762625" cy="2630142"/>
                  <wp:effectExtent l="0" t="0" r="9525" b="18415"/>
                  <wp:docPr id="163198956" name="Chart 1">
                    <a:extLst xmlns:a="http://schemas.openxmlformats.org/drawingml/2006/main">
                      <a:ext uri="{FF2B5EF4-FFF2-40B4-BE49-F238E27FC236}">
                        <a16:creationId xmlns:a16="http://schemas.microsoft.com/office/drawing/2014/main" id="{00000000-0008-0000-06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tc>
      </w:tr>
      <w:tr w:rsidR="00D34955" w14:paraId="0103DCF7" w14:textId="77777777" w:rsidTr="003160D7">
        <w:tc>
          <w:tcPr>
            <w:tcW w:w="10446" w:type="dxa"/>
            <w:gridSpan w:val="7"/>
            <w:shd w:val="clear" w:color="auto" w:fill="5B9BD5" w:themeFill="accent1"/>
          </w:tcPr>
          <w:p w14:paraId="2D85CC85" w14:textId="77777777" w:rsidR="004F7593" w:rsidRPr="005359B6" w:rsidRDefault="00B544FE" w:rsidP="003160D7">
            <w:pPr>
              <w:rPr>
                <w:b/>
                <w:color w:val="FFFFFF" w:themeColor="background1"/>
              </w:rPr>
            </w:pPr>
            <w:r w:rsidRPr="005359B6">
              <w:rPr>
                <w:b/>
                <w:color w:val="FFFFFF" w:themeColor="background1"/>
              </w:rPr>
              <w:t>Cumulative Performance</w:t>
            </w:r>
          </w:p>
        </w:tc>
      </w:tr>
      <w:tr w:rsidR="00D34955" w14:paraId="28C482C8" w14:textId="77777777" w:rsidTr="001557D0">
        <w:trPr>
          <w:trHeight w:val="3643"/>
        </w:trPr>
        <w:tc>
          <w:tcPr>
            <w:tcW w:w="10446" w:type="dxa"/>
            <w:gridSpan w:val="7"/>
          </w:tcPr>
          <w:p w14:paraId="0C40B09F" w14:textId="77777777" w:rsidR="004F7593" w:rsidRDefault="00B544FE" w:rsidP="003160D7">
            <w:pPr>
              <w:jc w:val="center"/>
              <w:rPr>
                <w:noProof/>
                <w:lang w:eastAsia="en-GB"/>
              </w:rPr>
            </w:pPr>
            <w:r>
              <w:rPr>
                <w:noProof/>
              </w:rPr>
              <w:drawing>
                <wp:inline distT="0" distB="0" distL="0" distR="0" wp14:anchorId="2F803251" wp14:editId="6417088B">
                  <wp:extent cx="5770800" cy="2683532"/>
                  <wp:effectExtent l="0" t="0" r="1905" b="2540"/>
                  <wp:docPr id="1417292511" name="Chart 1">
                    <a:extLst xmlns:a="http://schemas.openxmlformats.org/drawingml/2006/main">
                      <a:ext uri="{FF2B5EF4-FFF2-40B4-BE49-F238E27FC236}">
                        <a16:creationId xmlns:a16="http://schemas.microsoft.com/office/drawing/2014/main" id="{00000000-0008-0000-06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tc>
      </w:tr>
      <w:tr w:rsidR="00D34955" w14:paraId="6912DE53" w14:textId="77777777" w:rsidTr="003160D7">
        <w:trPr>
          <w:trHeight w:val="340"/>
        </w:trPr>
        <w:tc>
          <w:tcPr>
            <w:tcW w:w="5211" w:type="dxa"/>
            <w:gridSpan w:val="3"/>
            <w:vMerge w:val="restart"/>
          </w:tcPr>
          <w:p w14:paraId="15D9E86C" w14:textId="77777777" w:rsidR="004F7593" w:rsidRPr="00681F4B" w:rsidRDefault="00B544FE" w:rsidP="003160D7">
            <w:pPr>
              <w:rPr>
                <w:b/>
              </w:rPr>
            </w:pPr>
            <w:r w:rsidRPr="00681F4B">
              <w:rPr>
                <w:b/>
              </w:rPr>
              <w:t xml:space="preserve">TO00 Total number of emergency calls </w:t>
            </w:r>
            <w:proofErr w:type="gramStart"/>
            <w:r w:rsidRPr="00681F4B">
              <w:rPr>
                <w:b/>
              </w:rPr>
              <w:t>received</w:t>
            </w:r>
            <w:proofErr w:type="gramEnd"/>
          </w:p>
          <w:p w14:paraId="63B62414" w14:textId="77777777" w:rsidR="004F7593" w:rsidRPr="00681F4B" w:rsidRDefault="004F7593" w:rsidP="003160D7">
            <w:pPr>
              <w:rPr>
                <w:b/>
              </w:rPr>
            </w:pPr>
          </w:p>
          <w:p w14:paraId="5D92F53C" w14:textId="77777777" w:rsidR="004F7593" w:rsidRPr="00681F4B" w:rsidRDefault="00B544FE" w:rsidP="003160D7">
            <w:pPr>
              <w:rPr>
                <w:b/>
              </w:rPr>
            </w:pPr>
            <w:r w:rsidRPr="00681F4B">
              <w:rPr>
                <w:b/>
              </w:rPr>
              <w:t xml:space="preserve">DO22 The % of 999 calls answered within 10 </w:t>
            </w:r>
            <w:proofErr w:type="gramStart"/>
            <w:r w:rsidRPr="00681F4B">
              <w:rPr>
                <w:b/>
              </w:rPr>
              <w:t>seconds</w:t>
            </w:r>
            <w:proofErr w:type="gramEnd"/>
          </w:p>
          <w:p w14:paraId="69D6D869" w14:textId="77777777" w:rsidR="004F7593" w:rsidRDefault="004F7593" w:rsidP="003160D7"/>
        </w:tc>
        <w:tc>
          <w:tcPr>
            <w:tcW w:w="5235" w:type="dxa"/>
            <w:gridSpan w:val="4"/>
            <w:shd w:val="clear" w:color="auto" w:fill="D9E2F3" w:themeFill="accent5" w:themeFillTint="33"/>
          </w:tcPr>
          <w:p w14:paraId="72391746" w14:textId="77777777" w:rsidR="004F7593" w:rsidRPr="00681F4B" w:rsidRDefault="00B544FE" w:rsidP="003160D7">
            <w:pPr>
              <w:jc w:val="center"/>
              <w:rPr>
                <w:b/>
              </w:rPr>
            </w:pPr>
            <w:r w:rsidRPr="00681F4B">
              <w:rPr>
                <w:b/>
              </w:rPr>
              <w:t xml:space="preserve">For quality </w:t>
            </w:r>
            <w:r w:rsidRPr="00681F4B">
              <w:rPr>
                <w:b/>
              </w:rPr>
              <w:t>assurance only</w:t>
            </w:r>
          </w:p>
          <w:p w14:paraId="133EBE2F" w14:textId="77777777" w:rsidR="004F7593" w:rsidRPr="00F65CA6" w:rsidRDefault="004F7593" w:rsidP="003160D7">
            <w:pPr>
              <w:rPr>
                <w:color w:val="DD898B"/>
              </w:rPr>
            </w:pPr>
          </w:p>
        </w:tc>
      </w:tr>
      <w:tr w:rsidR="00D34955" w14:paraId="17DC001C" w14:textId="77777777" w:rsidTr="003160D7">
        <w:tc>
          <w:tcPr>
            <w:tcW w:w="5211" w:type="dxa"/>
            <w:gridSpan w:val="3"/>
            <w:vMerge/>
          </w:tcPr>
          <w:p w14:paraId="13E7FA69" w14:textId="77777777" w:rsidR="004F7593" w:rsidRDefault="004F7593" w:rsidP="003160D7"/>
        </w:tc>
        <w:tc>
          <w:tcPr>
            <w:tcW w:w="5235" w:type="dxa"/>
            <w:gridSpan w:val="4"/>
            <w:shd w:val="clear" w:color="auto" w:fill="00B050"/>
          </w:tcPr>
          <w:p w14:paraId="457E42F8" w14:textId="77777777" w:rsidR="004F7593" w:rsidRDefault="004F7593" w:rsidP="003160D7"/>
        </w:tc>
      </w:tr>
      <w:tr w:rsidR="00D34955" w14:paraId="24647521" w14:textId="77777777" w:rsidTr="003160D7">
        <w:tc>
          <w:tcPr>
            <w:tcW w:w="2586" w:type="dxa"/>
          </w:tcPr>
          <w:p w14:paraId="6DFCE7BE" w14:textId="77777777" w:rsidR="004F7593" w:rsidRDefault="004F7593" w:rsidP="003160D7"/>
          <w:p w14:paraId="1A535F5C" w14:textId="77777777" w:rsidR="004F7593" w:rsidRDefault="00B544FE" w:rsidP="003160D7">
            <w:r>
              <w:t>TC00</w:t>
            </w:r>
          </w:p>
        </w:tc>
        <w:tc>
          <w:tcPr>
            <w:tcW w:w="7860" w:type="dxa"/>
            <w:gridSpan w:val="6"/>
          </w:tcPr>
          <w:p w14:paraId="0B7DFF4D" w14:textId="77777777" w:rsidR="004F7593" w:rsidRDefault="00B544FE" w:rsidP="003160D7">
            <w:r>
              <w:t xml:space="preserve">During the first </w:t>
            </w:r>
            <w:r w:rsidR="00AB10F3">
              <w:t>half</w:t>
            </w:r>
            <w:r>
              <w:t xml:space="preserve"> of </w:t>
            </w:r>
            <w:r w:rsidR="00BD5E8A">
              <w:t>202</w:t>
            </w:r>
            <w:r>
              <w:t xml:space="preserve">4-25 Fire Control received </w:t>
            </w:r>
            <w:r w:rsidR="00AB10F3">
              <w:t>10883</w:t>
            </w:r>
            <w:r>
              <w:t xml:space="preserve"> emergency calls.  This was </w:t>
            </w:r>
            <w:r w:rsidR="00AB10F3">
              <w:t>2</w:t>
            </w:r>
            <w:r>
              <w:t xml:space="preserve">87 </w:t>
            </w:r>
            <w:r w:rsidR="00AC3DBB">
              <w:t>fewer</w:t>
            </w:r>
            <w:r>
              <w:t xml:space="preserve"> than</w:t>
            </w:r>
            <w:r w:rsidRPr="008A7A59">
              <w:t xml:space="preserve"> </w:t>
            </w:r>
            <w:r>
              <w:t>th</w:t>
            </w:r>
            <w:r w:rsidR="00AC3DBB">
              <w:t xml:space="preserve">e same </w:t>
            </w:r>
            <w:r w:rsidR="00ED79D9">
              <w:t>period 2023-24</w:t>
            </w:r>
            <w:r>
              <w:t xml:space="preserve">, when </w:t>
            </w:r>
            <w:r w:rsidR="00AB10F3">
              <w:t>11170</w:t>
            </w:r>
            <w:r w:rsidRPr="008A7A59">
              <w:t xml:space="preserve"> calls were received.  </w:t>
            </w:r>
          </w:p>
          <w:p w14:paraId="7BB7ED42" w14:textId="77777777" w:rsidR="004F7593" w:rsidRDefault="004F7593" w:rsidP="003160D7"/>
          <w:p w14:paraId="5A15F755" w14:textId="77777777" w:rsidR="004F7593" w:rsidRDefault="00B544FE" w:rsidP="003160D7">
            <w:r>
              <w:t xml:space="preserve">The number of calls in April were very low (1498) but increased </w:t>
            </w:r>
            <w:r w:rsidR="00AB10F3">
              <w:t>steadily throughout Spring and Summer to</w:t>
            </w:r>
            <w:r>
              <w:t xml:space="preserve"> </w:t>
            </w:r>
            <w:r w:rsidR="00AB10F3">
              <w:t>2100 in August.  This decreased sharply in September to 1627 in</w:t>
            </w:r>
            <w:r>
              <w:t xml:space="preserve"> </w:t>
            </w:r>
            <w:r w:rsidR="00AB10F3">
              <w:t xml:space="preserve">line with the number of most </w:t>
            </w:r>
            <w:r>
              <w:t>incident</w:t>
            </w:r>
            <w:r w:rsidR="00AB10F3">
              <w:t xml:space="preserve"> types. </w:t>
            </w:r>
          </w:p>
          <w:p w14:paraId="17BE698C" w14:textId="77777777" w:rsidR="004F7593" w:rsidRPr="008A7A59" w:rsidRDefault="004F7593" w:rsidP="003160D7"/>
          <w:p w14:paraId="7EE3E863" w14:textId="77777777" w:rsidR="004F7593" w:rsidRDefault="00B544FE" w:rsidP="003160D7">
            <w:r w:rsidRPr="008A7A59">
              <w:t>This indicator does not have a target</w:t>
            </w:r>
            <w:r>
              <w:t xml:space="preserve">, </w:t>
            </w:r>
            <w:r w:rsidRPr="008A7A59">
              <w:t>it is monitored for quality assurance only.</w:t>
            </w:r>
          </w:p>
          <w:p w14:paraId="08571794" w14:textId="77777777" w:rsidR="007746FA" w:rsidRDefault="007746FA" w:rsidP="003160D7"/>
          <w:p w14:paraId="103034C0" w14:textId="77777777" w:rsidR="004F7593" w:rsidRPr="008A7A59" w:rsidRDefault="004F7593" w:rsidP="003160D7"/>
        </w:tc>
      </w:tr>
      <w:tr w:rsidR="00D34955" w14:paraId="4B5CB42E" w14:textId="77777777" w:rsidTr="003160D7">
        <w:tc>
          <w:tcPr>
            <w:tcW w:w="2586" w:type="dxa"/>
          </w:tcPr>
          <w:p w14:paraId="3CEE427D" w14:textId="77777777" w:rsidR="004F7593" w:rsidRDefault="004F7593" w:rsidP="003160D7"/>
          <w:p w14:paraId="1B798489" w14:textId="77777777" w:rsidR="004F7593" w:rsidRDefault="00B544FE" w:rsidP="003160D7">
            <w:r>
              <w:t>D</w:t>
            </w:r>
            <w:r w:rsidR="00AD5BE6">
              <w:t>R</w:t>
            </w:r>
            <w:r>
              <w:t>22</w:t>
            </w:r>
          </w:p>
        </w:tc>
        <w:tc>
          <w:tcPr>
            <w:tcW w:w="7860" w:type="dxa"/>
            <w:gridSpan w:val="6"/>
          </w:tcPr>
          <w:p w14:paraId="1FDE4E6B" w14:textId="77777777" w:rsidR="004F7593" w:rsidRDefault="00B544FE" w:rsidP="003160D7">
            <w:r>
              <w:t>Cumulatively 9</w:t>
            </w:r>
            <w:r w:rsidR="00E063DA">
              <w:t>7.</w:t>
            </w:r>
            <w:r w:rsidR="00397BD1">
              <w:t>8</w:t>
            </w:r>
            <w:r>
              <w:t xml:space="preserve">% of 999 calls were answered within 10 seconds.  This performance surpasses the 96% target.  </w:t>
            </w:r>
          </w:p>
          <w:p w14:paraId="2E731FC3" w14:textId="77777777" w:rsidR="004F7593" w:rsidRDefault="004F7593" w:rsidP="003160D7"/>
          <w:p w14:paraId="11963ADC" w14:textId="77777777" w:rsidR="004F7593" w:rsidRDefault="004F7593" w:rsidP="003160D7"/>
        </w:tc>
      </w:tr>
      <w:tr w:rsidR="00D34955" w14:paraId="4ABEAF68" w14:textId="77777777" w:rsidTr="003160D7">
        <w:tc>
          <w:tcPr>
            <w:tcW w:w="10446" w:type="dxa"/>
            <w:gridSpan w:val="7"/>
            <w:shd w:val="clear" w:color="auto" w:fill="5B9BD5" w:themeFill="accent1"/>
          </w:tcPr>
          <w:p w14:paraId="3E7933A2" w14:textId="77777777" w:rsidR="004F7593" w:rsidRPr="005F20DB" w:rsidRDefault="00B544FE">
            <w:pPr>
              <w:rPr>
                <w:b/>
                <w:color w:val="FFFF00"/>
                <w:sz w:val="28"/>
                <w:szCs w:val="28"/>
              </w:rPr>
            </w:pPr>
            <w:r w:rsidRPr="00681F4B">
              <w:rPr>
                <w:b/>
                <w:color w:val="FFFFFF" w:themeColor="background1"/>
                <w:sz w:val="28"/>
                <w:szCs w:val="28"/>
              </w:rPr>
              <w:t>TC01 The total number of incidents attended</w:t>
            </w:r>
          </w:p>
        </w:tc>
      </w:tr>
      <w:tr w:rsidR="00D34955" w14:paraId="10FF8885" w14:textId="77777777" w:rsidTr="00AB1D40">
        <w:tc>
          <w:tcPr>
            <w:tcW w:w="2835" w:type="dxa"/>
            <w:gridSpan w:val="2"/>
            <w:shd w:val="clear" w:color="auto" w:fill="FFFF00"/>
            <w:vAlign w:val="center"/>
          </w:tcPr>
          <w:p w14:paraId="105C15A8" w14:textId="77777777" w:rsidR="004F7593" w:rsidRDefault="00B544FE" w:rsidP="003160D7">
            <w:pPr>
              <w:jc w:val="center"/>
            </w:pPr>
            <w:commentRangeStart w:id="0"/>
            <w:r>
              <w:t xml:space="preserve">Service Plan </w:t>
            </w:r>
            <w:r w:rsidRPr="00C63E5E">
              <w:t>Target</w:t>
            </w:r>
          </w:p>
          <w:p w14:paraId="37B77E96" w14:textId="2948DC5A" w:rsidR="004F7593" w:rsidRDefault="00B544FE" w:rsidP="003160D7">
            <w:pPr>
              <w:jc w:val="center"/>
            </w:pPr>
            <w:r>
              <w:t>Apr-</w:t>
            </w:r>
            <w:r w:rsidR="001C1ABD">
              <w:t>Sept</w:t>
            </w:r>
            <w:r>
              <w:t xml:space="preserve"> </w:t>
            </w:r>
            <w:r w:rsidR="00BD5E8A">
              <w:t>202</w:t>
            </w:r>
            <w:r w:rsidR="004C5A01">
              <w:t>4</w:t>
            </w:r>
            <w:commentRangeEnd w:id="0"/>
            <w:r>
              <w:rPr>
                <w:rStyle w:val="CommentReference"/>
              </w:rPr>
              <w:commentReference w:id="0"/>
            </w:r>
          </w:p>
        </w:tc>
        <w:tc>
          <w:tcPr>
            <w:tcW w:w="2518" w:type="dxa"/>
            <w:gridSpan w:val="2"/>
            <w:shd w:val="clear" w:color="auto" w:fill="D9E2F3" w:themeFill="accent5" w:themeFillTint="33"/>
            <w:vAlign w:val="center"/>
          </w:tcPr>
          <w:p w14:paraId="15800EF2" w14:textId="77777777" w:rsidR="004F7593" w:rsidRPr="004D4B15" w:rsidRDefault="00B544FE" w:rsidP="003160D7">
            <w:pPr>
              <w:jc w:val="center"/>
              <w:rPr>
                <w:b/>
              </w:rPr>
            </w:pPr>
            <w:r>
              <w:rPr>
                <w:b/>
              </w:rPr>
              <w:t>10638</w:t>
            </w:r>
          </w:p>
        </w:tc>
        <w:tc>
          <w:tcPr>
            <w:tcW w:w="2434" w:type="dxa"/>
            <w:shd w:val="clear" w:color="auto" w:fill="FFFF00"/>
            <w:vAlign w:val="center"/>
          </w:tcPr>
          <w:p w14:paraId="6CCA1435" w14:textId="77777777" w:rsidR="004F7593" w:rsidRDefault="00B544FE" w:rsidP="003160D7">
            <w:pPr>
              <w:jc w:val="center"/>
            </w:pPr>
            <w:r w:rsidRPr="00C63E5E">
              <w:t>Progress to Date</w:t>
            </w:r>
          </w:p>
        </w:tc>
        <w:tc>
          <w:tcPr>
            <w:tcW w:w="2659" w:type="dxa"/>
            <w:gridSpan w:val="2"/>
            <w:shd w:val="clear" w:color="auto" w:fill="00B050"/>
            <w:vAlign w:val="center"/>
          </w:tcPr>
          <w:p w14:paraId="1F761B3C" w14:textId="77777777" w:rsidR="004F7593" w:rsidRPr="00302A5A" w:rsidRDefault="00B544FE" w:rsidP="003160D7">
            <w:pPr>
              <w:jc w:val="center"/>
              <w:rPr>
                <w:b/>
                <w:color w:val="00B050"/>
              </w:rPr>
            </w:pPr>
            <w:r w:rsidRPr="00397BD1">
              <w:rPr>
                <w:b/>
              </w:rPr>
              <w:t>8858</w:t>
            </w:r>
          </w:p>
        </w:tc>
      </w:tr>
      <w:tr w:rsidR="00D34955" w14:paraId="449F71CF" w14:textId="77777777" w:rsidTr="001557D0">
        <w:tc>
          <w:tcPr>
            <w:tcW w:w="10446" w:type="dxa"/>
            <w:gridSpan w:val="7"/>
          </w:tcPr>
          <w:p w14:paraId="362500E0" w14:textId="77777777" w:rsidR="004F7593" w:rsidRDefault="00B544FE" w:rsidP="00935CB8">
            <w:pPr>
              <w:jc w:val="center"/>
              <w:rPr>
                <w:noProof/>
                <w:lang w:eastAsia="en-GB"/>
              </w:rPr>
            </w:pPr>
            <w:r>
              <w:rPr>
                <w:noProof/>
              </w:rPr>
              <w:drawing>
                <wp:inline distT="0" distB="0" distL="0" distR="0" wp14:anchorId="62AFA266" wp14:editId="06F5FE19">
                  <wp:extent cx="5770800" cy="2658717"/>
                  <wp:effectExtent l="0" t="0" r="1905" b="8890"/>
                  <wp:docPr id="90006540" name="Chart 1">
                    <a:extLst xmlns:a="http://schemas.openxmlformats.org/drawingml/2006/main">
                      <a:ext uri="{FF2B5EF4-FFF2-40B4-BE49-F238E27FC236}">
                        <a16:creationId xmlns:a16="http://schemas.microsoft.com/office/drawing/2014/main" id="{00000000-0008-0000-06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r>
      <w:tr w:rsidR="00D34955" w14:paraId="6264BC6F" w14:textId="77777777" w:rsidTr="003160D7">
        <w:tc>
          <w:tcPr>
            <w:tcW w:w="10446" w:type="dxa"/>
            <w:gridSpan w:val="7"/>
            <w:shd w:val="clear" w:color="auto" w:fill="5B9BD5" w:themeFill="accent1"/>
          </w:tcPr>
          <w:p w14:paraId="33DDE346" w14:textId="77777777" w:rsidR="004F7593" w:rsidRPr="005359B6" w:rsidRDefault="00B544FE">
            <w:pPr>
              <w:rPr>
                <w:b/>
                <w:color w:val="FFFFFF" w:themeColor="background1"/>
              </w:rPr>
            </w:pPr>
            <w:r w:rsidRPr="005359B6">
              <w:rPr>
                <w:b/>
                <w:color w:val="FFFFFF" w:themeColor="background1"/>
              </w:rPr>
              <w:t>Cumulative Performance</w:t>
            </w:r>
          </w:p>
        </w:tc>
      </w:tr>
      <w:tr w:rsidR="00D34955" w14:paraId="3C480013" w14:textId="77777777" w:rsidTr="001557D0">
        <w:trPr>
          <w:trHeight w:val="4201"/>
        </w:trPr>
        <w:tc>
          <w:tcPr>
            <w:tcW w:w="10446" w:type="dxa"/>
            <w:gridSpan w:val="7"/>
          </w:tcPr>
          <w:p w14:paraId="4D9DDD84" w14:textId="77777777" w:rsidR="004F7593" w:rsidRDefault="00B544FE" w:rsidP="003160D7">
            <w:pPr>
              <w:jc w:val="center"/>
              <w:rPr>
                <w:noProof/>
                <w:lang w:eastAsia="en-GB"/>
              </w:rPr>
            </w:pPr>
            <w:r>
              <w:rPr>
                <w:noProof/>
              </w:rPr>
              <w:drawing>
                <wp:inline distT="0" distB="0" distL="0" distR="0" wp14:anchorId="2621ACCC" wp14:editId="74EECBEC">
                  <wp:extent cx="5770800" cy="2683532"/>
                  <wp:effectExtent l="0" t="0" r="1905" b="2540"/>
                  <wp:docPr id="1920322217" name="Chart 1">
                    <a:extLst xmlns:a="http://schemas.openxmlformats.org/drawingml/2006/main">
                      <a:ext uri="{FF2B5EF4-FFF2-40B4-BE49-F238E27FC236}">
                        <a16:creationId xmlns:a16="http://schemas.microsoft.com/office/drawing/2014/main" id="{00000000-0008-0000-06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r w:rsidR="00D34955" w14:paraId="6EC9A05D" w14:textId="77777777" w:rsidTr="00AB1D40">
        <w:trPr>
          <w:trHeight w:val="567"/>
        </w:trPr>
        <w:tc>
          <w:tcPr>
            <w:tcW w:w="5353" w:type="dxa"/>
            <w:gridSpan w:val="4"/>
          </w:tcPr>
          <w:p w14:paraId="31379AB1" w14:textId="77777777" w:rsidR="004F7593" w:rsidRPr="00681F4B" w:rsidRDefault="00B544FE" w:rsidP="003160D7">
            <w:pPr>
              <w:rPr>
                <w:b/>
              </w:rPr>
            </w:pPr>
            <w:r w:rsidRPr="00681F4B">
              <w:rPr>
                <w:b/>
              </w:rPr>
              <w:t xml:space="preserve">TC01 Total number of incidents </w:t>
            </w:r>
            <w:proofErr w:type="gramStart"/>
            <w:r w:rsidRPr="00681F4B">
              <w:rPr>
                <w:b/>
              </w:rPr>
              <w:t>attended</w:t>
            </w:r>
            <w:proofErr w:type="gramEnd"/>
          </w:p>
          <w:p w14:paraId="3D363E36" w14:textId="77777777" w:rsidR="004F7593" w:rsidRDefault="004F7593" w:rsidP="003160D7"/>
        </w:tc>
        <w:tc>
          <w:tcPr>
            <w:tcW w:w="5093" w:type="dxa"/>
            <w:gridSpan w:val="3"/>
            <w:shd w:val="clear" w:color="auto" w:fill="00B050"/>
          </w:tcPr>
          <w:p w14:paraId="64FD6326" w14:textId="77777777" w:rsidR="004F7593" w:rsidRDefault="004F7593" w:rsidP="003160D7"/>
          <w:p w14:paraId="67D19839" w14:textId="77777777" w:rsidR="004F7593" w:rsidRDefault="004F7593" w:rsidP="003160D7"/>
        </w:tc>
      </w:tr>
      <w:tr w:rsidR="00D34955" w14:paraId="24D196FC" w14:textId="77777777" w:rsidTr="003160D7">
        <w:tc>
          <w:tcPr>
            <w:tcW w:w="2835" w:type="dxa"/>
            <w:gridSpan w:val="2"/>
          </w:tcPr>
          <w:p w14:paraId="481A11EF" w14:textId="77777777" w:rsidR="004F7593" w:rsidRDefault="004F7593" w:rsidP="003160D7"/>
          <w:p w14:paraId="2B2EEB4C" w14:textId="77777777" w:rsidR="004F7593" w:rsidRDefault="00B544FE" w:rsidP="003160D7">
            <w:r>
              <w:t>TC01</w:t>
            </w:r>
          </w:p>
        </w:tc>
        <w:tc>
          <w:tcPr>
            <w:tcW w:w="7611" w:type="dxa"/>
            <w:gridSpan w:val="5"/>
          </w:tcPr>
          <w:p w14:paraId="4205848C" w14:textId="77777777" w:rsidR="004F7593" w:rsidRDefault="00B544FE" w:rsidP="003160D7">
            <w:r>
              <w:t>Performance against all key performance indicators (KPI’s) has remained under target</w:t>
            </w:r>
            <w:r w:rsidR="00AC3DBB">
              <w:t>,</w:t>
            </w:r>
            <w:r>
              <w:t xml:space="preserve"> except </w:t>
            </w:r>
            <w:r w:rsidR="00151B41">
              <w:t>false alarms and s</w:t>
            </w:r>
            <w:r w:rsidR="0084057E">
              <w:t>ickness absence</w:t>
            </w:r>
            <w:r w:rsidR="00AC3DBB">
              <w:t>,</w:t>
            </w:r>
            <w:r>
              <w:t xml:space="preserve"> during this reporting perio</w:t>
            </w:r>
            <w:r w:rsidR="0084057E">
              <w:t xml:space="preserve">d.  </w:t>
            </w:r>
            <w:r w:rsidR="0084057E" w:rsidRPr="003201C1">
              <w:t>Special Services attended are also</w:t>
            </w:r>
            <w:r w:rsidR="00AB10F3">
              <w:t xml:space="preserve"> slightly</w:t>
            </w:r>
            <w:r w:rsidR="0084057E" w:rsidRPr="003201C1">
              <w:t xml:space="preserve"> higher when compared to last year</w:t>
            </w:r>
            <w:r w:rsidR="0084057E">
              <w:t xml:space="preserve"> although we do not have a target for this incident type</w:t>
            </w:r>
            <w:r w:rsidR="00AC3DBB">
              <w:t xml:space="preserve"> (</w:t>
            </w:r>
            <w:proofErr w:type="gramStart"/>
            <w:r w:rsidR="00AC3DBB">
              <w:t>with the exception of</w:t>
            </w:r>
            <w:proofErr w:type="gramEnd"/>
            <w:r w:rsidR="00AC3DBB">
              <w:t xml:space="preserve"> road traffic collisions and water rescues)</w:t>
            </w:r>
            <w:r w:rsidR="0084057E">
              <w:t>.</w:t>
            </w:r>
            <w:r w:rsidR="00AC3DBB">
              <w:t xml:space="preserve"> That is because we actively seek to support partners</w:t>
            </w:r>
            <w:r w:rsidR="0084057E">
              <w:t xml:space="preserve"> </w:t>
            </w:r>
            <w:r w:rsidR="00AC3DBB">
              <w:t>with some Special Service</w:t>
            </w:r>
            <w:r w:rsidR="0084057E">
              <w:t xml:space="preserve"> </w:t>
            </w:r>
            <w:r w:rsidR="00AC3DBB">
              <w:t xml:space="preserve">calls, so would not aim to set an upper limit. </w:t>
            </w:r>
          </w:p>
          <w:p w14:paraId="68BAC2B4" w14:textId="77777777" w:rsidR="004F7593" w:rsidRDefault="004F7593" w:rsidP="003160D7"/>
          <w:p w14:paraId="5FCC570B" w14:textId="77777777" w:rsidR="004F7593" w:rsidRDefault="00B544FE" w:rsidP="003160D7">
            <w:r>
              <w:t>The w</w:t>
            </w:r>
            <w:r w:rsidR="009A5ED1">
              <w:t>eather was</w:t>
            </w:r>
            <w:r w:rsidR="0084057E">
              <w:t xml:space="preserve"> extremely wet during</w:t>
            </w:r>
            <w:r w:rsidR="009A5ED1">
              <w:t xml:space="preserve"> Spring </w:t>
            </w:r>
            <w:r w:rsidR="00AB10F3">
              <w:t xml:space="preserve">and Summer </w:t>
            </w:r>
            <w:r w:rsidR="009A5ED1">
              <w:t>2024</w:t>
            </w:r>
            <w:r>
              <w:t xml:space="preserve">, which has </w:t>
            </w:r>
            <w:r w:rsidR="00AB10F3">
              <w:t xml:space="preserve">had </w:t>
            </w:r>
            <w:r>
              <w:t>an impact on some incident types</w:t>
            </w:r>
            <w:r w:rsidR="00151B41">
              <w:t>.</w:t>
            </w:r>
          </w:p>
          <w:p w14:paraId="3D34312A" w14:textId="77777777" w:rsidR="004F7593" w:rsidRDefault="004F7593" w:rsidP="003160D7"/>
          <w:p w14:paraId="164EEEE1" w14:textId="1F2A0A57" w:rsidR="004F7593" w:rsidRDefault="00B544FE" w:rsidP="0043152B">
            <w:r>
              <w:t xml:space="preserve">During this period there </w:t>
            </w:r>
            <w:r w:rsidR="00AC3DBB">
              <w:t>were</w:t>
            </w:r>
            <w:r w:rsidR="00AB10F3">
              <w:t>552</w:t>
            </w:r>
            <w:r>
              <w:t xml:space="preserve"> </w:t>
            </w:r>
            <w:r w:rsidR="00AC3DBB">
              <w:t>fewer</w:t>
            </w:r>
            <w:r>
              <w:t xml:space="preserve"> incidents</w:t>
            </w:r>
            <w:r w:rsidR="00DE63BC">
              <w:t xml:space="preserve"> </w:t>
            </w:r>
            <w:r>
              <w:t>(</w:t>
            </w:r>
            <w:r w:rsidR="00AB10F3">
              <w:t>8858</w:t>
            </w:r>
            <w:r>
              <w:t>) than at th</w:t>
            </w:r>
            <w:r w:rsidR="00AC3DBB">
              <w:t>e same</w:t>
            </w:r>
            <w:r>
              <w:t xml:space="preserve"> time last year (</w:t>
            </w:r>
            <w:r w:rsidR="00AB10F3">
              <w:t>9410</w:t>
            </w:r>
            <w:r>
              <w:t>).</w:t>
            </w:r>
            <w:r w:rsidR="00AB10F3">
              <w:t xml:space="preserve">  This performance is 1780 under the cumulative target of 10638.</w:t>
            </w:r>
          </w:p>
          <w:p w14:paraId="6D2EE050" w14:textId="77777777" w:rsidR="004F7593" w:rsidRDefault="004F7593" w:rsidP="0043152B"/>
          <w:p w14:paraId="3A604E34" w14:textId="77777777" w:rsidR="004F7593" w:rsidRDefault="004F7593" w:rsidP="003160D7"/>
          <w:p w14:paraId="1BA50586" w14:textId="77777777" w:rsidR="004F7593" w:rsidRDefault="004F7593" w:rsidP="00A11959"/>
        </w:tc>
      </w:tr>
    </w:tbl>
    <w:p w14:paraId="179A08F5" w14:textId="77777777" w:rsidR="004F7593" w:rsidRDefault="004F7593"/>
    <w:tbl>
      <w:tblPr>
        <w:tblStyle w:val="TableGrid"/>
        <w:tblW w:w="10493"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835"/>
        <w:gridCol w:w="2235"/>
        <w:gridCol w:w="3141"/>
        <w:gridCol w:w="2282"/>
      </w:tblGrid>
      <w:tr w:rsidR="00D34955" w14:paraId="0A3F6381" w14:textId="77777777" w:rsidTr="003160D7">
        <w:tc>
          <w:tcPr>
            <w:tcW w:w="10493" w:type="dxa"/>
            <w:gridSpan w:val="4"/>
            <w:shd w:val="clear" w:color="auto" w:fill="5B9BD5" w:themeFill="accent1"/>
          </w:tcPr>
          <w:p w14:paraId="0B565674" w14:textId="77777777" w:rsidR="004F7593" w:rsidRPr="005F20DB" w:rsidRDefault="00B544FE" w:rsidP="003160D7">
            <w:pPr>
              <w:rPr>
                <w:b/>
                <w:color w:val="FFFF00"/>
                <w:sz w:val="28"/>
                <w:szCs w:val="28"/>
              </w:rPr>
            </w:pPr>
            <w:r w:rsidRPr="00681F4B">
              <w:rPr>
                <w:b/>
                <w:color w:val="FFFFFF" w:themeColor="background1"/>
                <w:sz w:val="28"/>
                <w:szCs w:val="28"/>
              </w:rPr>
              <w:t>TC02 Total number of fires attended in Merseyside</w:t>
            </w:r>
          </w:p>
        </w:tc>
      </w:tr>
      <w:tr w:rsidR="00D34955" w14:paraId="6637B36B" w14:textId="77777777" w:rsidTr="003160D7">
        <w:tc>
          <w:tcPr>
            <w:tcW w:w="2835" w:type="dxa"/>
            <w:shd w:val="clear" w:color="auto" w:fill="FFFF00"/>
            <w:vAlign w:val="center"/>
          </w:tcPr>
          <w:p w14:paraId="3CD90AA7" w14:textId="77777777" w:rsidR="004F7593" w:rsidRDefault="00B544FE" w:rsidP="003160D7">
            <w:pPr>
              <w:jc w:val="center"/>
            </w:pPr>
            <w:r>
              <w:t xml:space="preserve">Service Plan </w:t>
            </w:r>
            <w:r w:rsidRPr="00C63E5E">
              <w:t>Target</w:t>
            </w:r>
          </w:p>
          <w:p w14:paraId="6D7A8ABF" w14:textId="2ADB5CD6" w:rsidR="004F7593" w:rsidRDefault="00B544FE" w:rsidP="003160D7">
            <w:pPr>
              <w:jc w:val="center"/>
            </w:pPr>
            <w:r>
              <w:t>Apr-</w:t>
            </w:r>
            <w:r w:rsidR="001C1ABD">
              <w:t>Sept</w:t>
            </w:r>
            <w:r>
              <w:t xml:space="preserve"> </w:t>
            </w:r>
            <w:r w:rsidR="00BD5E8A">
              <w:t>202</w:t>
            </w:r>
            <w:r w:rsidR="004C5A01">
              <w:t>4</w:t>
            </w:r>
          </w:p>
        </w:tc>
        <w:tc>
          <w:tcPr>
            <w:tcW w:w="2235" w:type="dxa"/>
            <w:shd w:val="clear" w:color="auto" w:fill="D9E2F3" w:themeFill="accent5" w:themeFillTint="33"/>
            <w:vAlign w:val="center"/>
          </w:tcPr>
          <w:p w14:paraId="1129B8AD" w14:textId="77777777" w:rsidR="004F7593" w:rsidRPr="004D4B15" w:rsidRDefault="00B544FE" w:rsidP="003160D7">
            <w:pPr>
              <w:jc w:val="center"/>
              <w:rPr>
                <w:b/>
              </w:rPr>
            </w:pPr>
            <w:r>
              <w:rPr>
                <w:b/>
              </w:rPr>
              <w:t>4343</w:t>
            </w:r>
          </w:p>
        </w:tc>
        <w:tc>
          <w:tcPr>
            <w:tcW w:w="3141" w:type="dxa"/>
            <w:shd w:val="clear" w:color="auto" w:fill="FFFF00"/>
            <w:vAlign w:val="center"/>
          </w:tcPr>
          <w:p w14:paraId="089E7EEC" w14:textId="77777777" w:rsidR="004F7593" w:rsidRDefault="00B544FE" w:rsidP="003160D7">
            <w:pPr>
              <w:jc w:val="center"/>
            </w:pPr>
            <w:r w:rsidRPr="00C63E5E">
              <w:t>Progress to Date</w:t>
            </w:r>
          </w:p>
        </w:tc>
        <w:tc>
          <w:tcPr>
            <w:tcW w:w="2282" w:type="dxa"/>
            <w:shd w:val="clear" w:color="auto" w:fill="00B050"/>
            <w:vAlign w:val="center"/>
          </w:tcPr>
          <w:p w14:paraId="4377CE72" w14:textId="77777777" w:rsidR="004F7593" w:rsidRPr="00195C25" w:rsidRDefault="00B544FE" w:rsidP="003160D7">
            <w:pPr>
              <w:jc w:val="center"/>
              <w:rPr>
                <w:b/>
              </w:rPr>
            </w:pPr>
            <w:r>
              <w:rPr>
                <w:b/>
              </w:rPr>
              <w:t>2691</w:t>
            </w:r>
          </w:p>
        </w:tc>
      </w:tr>
      <w:tr w:rsidR="00D34955" w14:paraId="2F47F7EF" w14:textId="77777777" w:rsidTr="001557D0">
        <w:tc>
          <w:tcPr>
            <w:tcW w:w="10493" w:type="dxa"/>
            <w:gridSpan w:val="4"/>
          </w:tcPr>
          <w:p w14:paraId="01EAFF12" w14:textId="77777777" w:rsidR="004F7593" w:rsidRDefault="00B544FE" w:rsidP="00F8744C">
            <w:pPr>
              <w:jc w:val="center"/>
              <w:rPr>
                <w:noProof/>
                <w:lang w:eastAsia="en-GB"/>
              </w:rPr>
            </w:pPr>
            <w:r>
              <w:rPr>
                <w:noProof/>
              </w:rPr>
              <w:drawing>
                <wp:inline distT="0" distB="0" distL="0" distR="0" wp14:anchorId="08121752" wp14:editId="39155E8F">
                  <wp:extent cx="5770800" cy="2658717"/>
                  <wp:effectExtent l="0" t="0" r="1905" b="8890"/>
                  <wp:docPr id="1862997146" name="Chart 1">
                    <a:extLst xmlns:a="http://schemas.openxmlformats.org/drawingml/2006/main">
                      <a:ext uri="{FF2B5EF4-FFF2-40B4-BE49-F238E27FC236}">
                        <a16:creationId xmlns:a16="http://schemas.microsoft.com/office/drawing/2014/main" id="{00000000-0008-0000-06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r w:rsidR="00D34955" w14:paraId="3B515CF2" w14:textId="77777777" w:rsidTr="003160D7">
        <w:tc>
          <w:tcPr>
            <w:tcW w:w="10493" w:type="dxa"/>
            <w:gridSpan w:val="4"/>
            <w:shd w:val="clear" w:color="auto" w:fill="5B9BD5" w:themeFill="accent1"/>
          </w:tcPr>
          <w:p w14:paraId="76FF4D9C" w14:textId="77777777" w:rsidR="004F7593" w:rsidRPr="005359B6" w:rsidRDefault="00B544FE" w:rsidP="003160D7">
            <w:pPr>
              <w:rPr>
                <w:b/>
                <w:color w:val="FFFFFF" w:themeColor="background1"/>
              </w:rPr>
            </w:pPr>
            <w:r w:rsidRPr="005359B6">
              <w:rPr>
                <w:b/>
                <w:color w:val="FFFFFF" w:themeColor="background1"/>
              </w:rPr>
              <w:t>Cumulative Performance</w:t>
            </w:r>
          </w:p>
        </w:tc>
      </w:tr>
      <w:tr w:rsidR="00D34955" w14:paraId="0F757345" w14:textId="77777777" w:rsidTr="001557D0">
        <w:tc>
          <w:tcPr>
            <w:tcW w:w="10493" w:type="dxa"/>
            <w:gridSpan w:val="4"/>
          </w:tcPr>
          <w:p w14:paraId="3B6792BF" w14:textId="77777777" w:rsidR="004F7593" w:rsidRDefault="00B544FE" w:rsidP="00F8744C">
            <w:pPr>
              <w:jc w:val="center"/>
              <w:rPr>
                <w:noProof/>
                <w:lang w:eastAsia="en-GB"/>
              </w:rPr>
            </w:pPr>
            <w:r>
              <w:rPr>
                <w:noProof/>
              </w:rPr>
              <w:drawing>
                <wp:inline distT="0" distB="0" distL="0" distR="0" wp14:anchorId="03D96F84" wp14:editId="4797CD14">
                  <wp:extent cx="5770800" cy="2669925"/>
                  <wp:effectExtent l="0" t="0" r="1905" b="16510"/>
                  <wp:docPr id="1298087512" name="Chart 1">
                    <a:extLst xmlns:a="http://schemas.openxmlformats.org/drawingml/2006/main">
                      <a:ext uri="{FF2B5EF4-FFF2-40B4-BE49-F238E27FC236}">
                        <a16:creationId xmlns:a16="http://schemas.microsoft.com/office/drawing/2014/main" id="{00000000-0008-0000-06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r w:rsidR="00D34955" w14:paraId="27DB5EA1" w14:textId="77777777" w:rsidTr="003160D7">
        <w:trPr>
          <w:trHeight w:val="567"/>
        </w:trPr>
        <w:tc>
          <w:tcPr>
            <w:tcW w:w="5070" w:type="dxa"/>
            <w:gridSpan w:val="2"/>
          </w:tcPr>
          <w:p w14:paraId="27D3D54A" w14:textId="77777777" w:rsidR="004F7593" w:rsidRPr="004B0F95" w:rsidRDefault="00B544FE" w:rsidP="003160D7">
            <w:pPr>
              <w:rPr>
                <w:b/>
              </w:rPr>
            </w:pPr>
            <w:r w:rsidRPr="004B0F95">
              <w:rPr>
                <w:b/>
              </w:rPr>
              <w:t xml:space="preserve">TC02 Total number of Fires attended in </w:t>
            </w:r>
            <w:proofErr w:type="gramStart"/>
            <w:r w:rsidRPr="004B0F95">
              <w:rPr>
                <w:b/>
              </w:rPr>
              <w:t>Merseyside</w:t>
            </w:r>
            <w:proofErr w:type="gramEnd"/>
          </w:p>
          <w:p w14:paraId="04AA4CB5" w14:textId="77777777" w:rsidR="004F7593" w:rsidRDefault="004F7593" w:rsidP="003160D7"/>
        </w:tc>
        <w:tc>
          <w:tcPr>
            <w:tcW w:w="5423" w:type="dxa"/>
            <w:gridSpan w:val="2"/>
            <w:shd w:val="clear" w:color="auto" w:fill="00B050"/>
          </w:tcPr>
          <w:p w14:paraId="144D608C" w14:textId="77777777" w:rsidR="004F7593" w:rsidRDefault="004F7593" w:rsidP="003160D7"/>
          <w:p w14:paraId="777D9573" w14:textId="77777777" w:rsidR="004F7593" w:rsidRDefault="004F7593" w:rsidP="003160D7"/>
        </w:tc>
      </w:tr>
      <w:tr w:rsidR="00D34955" w14:paraId="01756B29" w14:textId="77777777" w:rsidTr="003160D7">
        <w:tc>
          <w:tcPr>
            <w:tcW w:w="2835" w:type="dxa"/>
          </w:tcPr>
          <w:p w14:paraId="25CA1816" w14:textId="77777777" w:rsidR="004F7593" w:rsidRDefault="004F7593" w:rsidP="003160D7"/>
          <w:p w14:paraId="550AD66A" w14:textId="77777777" w:rsidR="004F7593" w:rsidRPr="004B0F95" w:rsidRDefault="00B544FE" w:rsidP="003160D7">
            <w:pPr>
              <w:rPr>
                <w:b/>
              </w:rPr>
            </w:pPr>
            <w:r w:rsidRPr="00376821">
              <w:rPr>
                <w:b/>
              </w:rPr>
              <w:t>TC02</w:t>
            </w:r>
          </w:p>
        </w:tc>
        <w:tc>
          <w:tcPr>
            <w:tcW w:w="7658" w:type="dxa"/>
            <w:gridSpan w:val="3"/>
          </w:tcPr>
          <w:p w14:paraId="1BD072DB" w14:textId="4DFADCA9" w:rsidR="004F7593" w:rsidRDefault="00B544FE" w:rsidP="00670DAB">
            <w:r>
              <w:t xml:space="preserve">Crews attended </w:t>
            </w:r>
            <w:r w:rsidR="00AB10F3">
              <w:t>2691</w:t>
            </w:r>
            <w:r w:rsidR="009120DE">
              <w:t xml:space="preserve"> </w:t>
            </w:r>
            <w:r>
              <w:t>fires</w:t>
            </w:r>
            <w:r w:rsidR="00AB10F3">
              <w:t xml:space="preserve"> </w:t>
            </w:r>
            <w:r>
              <w:t>during</w:t>
            </w:r>
            <w:r w:rsidR="004F17D1">
              <w:t xml:space="preserve"> April </w:t>
            </w:r>
            <w:r>
              <w:t xml:space="preserve">to </w:t>
            </w:r>
            <w:r w:rsidR="00AB10F3">
              <w:t>September</w:t>
            </w:r>
            <w:r>
              <w:t xml:space="preserve"> </w:t>
            </w:r>
            <w:r w:rsidR="00BD5E8A">
              <w:t>202</w:t>
            </w:r>
            <w:r w:rsidR="0084057E">
              <w:t>4</w:t>
            </w:r>
            <w:r>
              <w:t xml:space="preserve">.  This is </w:t>
            </w:r>
            <w:r w:rsidR="00AB10F3">
              <w:t>664</w:t>
            </w:r>
            <w:r>
              <w:t xml:space="preserve"> </w:t>
            </w:r>
            <w:r w:rsidR="00AC3DBB">
              <w:t>fewer</w:t>
            </w:r>
            <w:r>
              <w:t xml:space="preserve"> than in 202</w:t>
            </w:r>
            <w:r w:rsidR="0084057E">
              <w:t>3</w:t>
            </w:r>
            <w:r>
              <w:t xml:space="preserve"> (</w:t>
            </w:r>
            <w:r w:rsidR="00AB10F3">
              <w:t>3355</w:t>
            </w:r>
            <w:r>
              <w:t xml:space="preserve">) </w:t>
            </w:r>
            <w:proofErr w:type="gramStart"/>
            <w:r>
              <w:t>and also</w:t>
            </w:r>
            <w:proofErr w:type="gramEnd"/>
            <w:r w:rsidR="00AB10F3">
              <w:t xml:space="preserve"> 16</w:t>
            </w:r>
            <w:r w:rsidR="00BC3465">
              <w:t>5</w:t>
            </w:r>
            <w:r w:rsidR="00AB10F3">
              <w:t>2</w:t>
            </w:r>
            <w:r>
              <w:t xml:space="preserve"> below the cumulative target of </w:t>
            </w:r>
            <w:r w:rsidR="00AB10F3">
              <w:t>4343</w:t>
            </w:r>
            <w:r>
              <w:t>.</w:t>
            </w:r>
          </w:p>
          <w:p w14:paraId="26D306F0" w14:textId="77777777" w:rsidR="004F7593" w:rsidRDefault="004F7593" w:rsidP="00670DAB"/>
          <w:p w14:paraId="08BDF4B1" w14:textId="77777777" w:rsidR="004F7593" w:rsidRDefault="00B544FE" w:rsidP="003160D7">
            <w:r>
              <w:t>Poor weather th</w:t>
            </w:r>
            <w:r w:rsidR="007746FA">
              <w:t>r</w:t>
            </w:r>
            <w:r>
              <w:t>oughout Spring</w:t>
            </w:r>
            <w:r w:rsidR="00AB10F3">
              <w:t xml:space="preserve"> and Summer</w:t>
            </w:r>
            <w:r>
              <w:t xml:space="preserve"> 2024 has been a contributing factor in the substantial decrease in fires attended.  Th</w:t>
            </w:r>
            <w:r w:rsidR="007746FA">
              <w:t>is</w:t>
            </w:r>
            <w:r>
              <w:t xml:space="preserve"> is </w:t>
            </w:r>
            <w:r w:rsidR="007746FA">
              <w:t xml:space="preserve">in </w:t>
            </w:r>
            <w:r>
              <w:t>common with most fire types.</w:t>
            </w:r>
          </w:p>
          <w:p w14:paraId="7A60D30F" w14:textId="77777777" w:rsidR="004F7593" w:rsidRDefault="004F7593" w:rsidP="003160D7"/>
          <w:p w14:paraId="6F8DDF75" w14:textId="77777777" w:rsidR="004F7593" w:rsidRDefault="00B544FE" w:rsidP="003160D7">
            <w:r>
              <w:t>Arson teams and high visibility patrols alongside our targeted prevention work continue to improve outcomes for the Service.</w:t>
            </w:r>
          </w:p>
          <w:p w14:paraId="30C272D5" w14:textId="77777777" w:rsidR="004F7593" w:rsidRDefault="004F7593" w:rsidP="003160D7"/>
          <w:p w14:paraId="2EBC1B70" w14:textId="77777777" w:rsidR="004F7593" w:rsidRDefault="004F7593" w:rsidP="003160D7"/>
        </w:tc>
      </w:tr>
    </w:tbl>
    <w:p w14:paraId="109CC4B6" w14:textId="77777777" w:rsidR="004F7593" w:rsidRDefault="004F7593"/>
    <w:p w14:paraId="6933322A" w14:textId="77777777" w:rsidR="004F7593" w:rsidRDefault="004F7593"/>
    <w:p w14:paraId="6C185580" w14:textId="77777777" w:rsidR="004F7593" w:rsidRDefault="004F7593"/>
    <w:p w14:paraId="7C9508BB" w14:textId="77777777" w:rsidR="004F7593" w:rsidRDefault="004F7593"/>
    <w:tbl>
      <w:tblPr>
        <w:tblStyle w:val="TableGrid"/>
        <w:tblW w:w="10550" w:type="dxa"/>
        <w:tblInd w:w="-70"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3179"/>
        <w:gridCol w:w="88"/>
        <w:gridCol w:w="2008"/>
        <w:gridCol w:w="434"/>
        <w:gridCol w:w="2936"/>
        <w:gridCol w:w="1905"/>
      </w:tblGrid>
      <w:tr w:rsidR="00D34955" w14:paraId="5F330D2F" w14:textId="77777777" w:rsidTr="003160D7">
        <w:tc>
          <w:tcPr>
            <w:tcW w:w="10550" w:type="dxa"/>
            <w:gridSpan w:val="6"/>
            <w:shd w:val="clear" w:color="auto" w:fill="5B9BD5" w:themeFill="accent1"/>
          </w:tcPr>
          <w:p w14:paraId="7C7CEA3C" w14:textId="77777777" w:rsidR="004F7593" w:rsidRPr="005F20DB" w:rsidRDefault="00B544FE" w:rsidP="003160D7">
            <w:pPr>
              <w:rPr>
                <w:b/>
                <w:color w:val="FFFF00"/>
                <w:sz w:val="28"/>
                <w:szCs w:val="28"/>
              </w:rPr>
            </w:pPr>
            <w:r w:rsidRPr="00681F4B">
              <w:rPr>
                <w:b/>
                <w:color w:val="FFFFFF" w:themeColor="background1"/>
                <w:sz w:val="28"/>
                <w:szCs w:val="28"/>
              </w:rPr>
              <w:t>TC03 Total number of primary fires attended</w:t>
            </w:r>
          </w:p>
        </w:tc>
      </w:tr>
      <w:tr w:rsidR="00D34955" w14:paraId="4E786669" w14:textId="77777777" w:rsidTr="003160D7">
        <w:tc>
          <w:tcPr>
            <w:tcW w:w="3267" w:type="dxa"/>
            <w:gridSpan w:val="2"/>
            <w:shd w:val="clear" w:color="auto" w:fill="FFFF00"/>
            <w:vAlign w:val="center"/>
          </w:tcPr>
          <w:p w14:paraId="448DBAFC" w14:textId="77777777" w:rsidR="004F7593" w:rsidRDefault="00B544FE" w:rsidP="003160D7">
            <w:pPr>
              <w:jc w:val="center"/>
            </w:pPr>
            <w:r w:rsidRPr="00C63E5E">
              <w:t>Service Plan Target</w:t>
            </w:r>
          </w:p>
          <w:p w14:paraId="0C4B3981" w14:textId="2BF03170" w:rsidR="004F7593" w:rsidRDefault="00B544FE" w:rsidP="003160D7">
            <w:pPr>
              <w:jc w:val="center"/>
            </w:pPr>
            <w:r>
              <w:t>Apr-</w:t>
            </w:r>
            <w:r w:rsidR="001C1ABD">
              <w:t>Sept</w:t>
            </w:r>
            <w:r>
              <w:t xml:space="preserve"> </w:t>
            </w:r>
            <w:r w:rsidR="00BD5E8A">
              <w:t>202</w:t>
            </w:r>
            <w:r w:rsidR="004C5A01">
              <w:t>4</w:t>
            </w:r>
          </w:p>
        </w:tc>
        <w:tc>
          <w:tcPr>
            <w:tcW w:w="2442" w:type="dxa"/>
            <w:gridSpan w:val="2"/>
            <w:shd w:val="clear" w:color="auto" w:fill="D9E2F3" w:themeFill="accent5" w:themeFillTint="33"/>
            <w:vAlign w:val="center"/>
          </w:tcPr>
          <w:p w14:paraId="3CE9C92E" w14:textId="77777777" w:rsidR="004F7593" w:rsidRPr="004D4B15" w:rsidRDefault="00B544FE" w:rsidP="003160D7">
            <w:pPr>
              <w:jc w:val="center"/>
              <w:rPr>
                <w:b/>
              </w:rPr>
            </w:pPr>
            <w:r>
              <w:rPr>
                <w:b/>
              </w:rPr>
              <w:t>988</w:t>
            </w:r>
          </w:p>
        </w:tc>
        <w:tc>
          <w:tcPr>
            <w:tcW w:w="2936" w:type="dxa"/>
            <w:shd w:val="clear" w:color="auto" w:fill="FFFF00"/>
            <w:vAlign w:val="center"/>
          </w:tcPr>
          <w:p w14:paraId="6FD7AFD7" w14:textId="77777777" w:rsidR="004F7593" w:rsidRDefault="00B544FE" w:rsidP="003160D7">
            <w:pPr>
              <w:jc w:val="center"/>
            </w:pPr>
            <w:r w:rsidRPr="00C63E5E">
              <w:t>Progress to Date</w:t>
            </w:r>
          </w:p>
        </w:tc>
        <w:tc>
          <w:tcPr>
            <w:tcW w:w="1905" w:type="dxa"/>
            <w:shd w:val="clear" w:color="auto" w:fill="00B050"/>
            <w:vAlign w:val="center"/>
          </w:tcPr>
          <w:p w14:paraId="4081CBE8" w14:textId="77777777" w:rsidR="004F7593" w:rsidRPr="006C577F" w:rsidRDefault="00B544FE" w:rsidP="003160D7">
            <w:pPr>
              <w:jc w:val="center"/>
              <w:rPr>
                <w:b/>
              </w:rPr>
            </w:pPr>
            <w:r>
              <w:rPr>
                <w:b/>
              </w:rPr>
              <w:t>818</w:t>
            </w:r>
          </w:p>
        </w:tc>
      </w:tr>
      <w:tr w:rsidR="00D34955" w14:paraId="4E51D7A8" w14:textId="77777777" w:rsidTr="001557D0">
        <w:tc>
          <w:tcPr>
            <w:tcW w:w="10550" w:type="dxa"/>
            <w:gridSpan w:val="6"/>
          </w:tcPr>
          <w:p w14:paraId="7BFDAFE5" w14:textId="77777777" w:rsidR="004F7593" w:rsidRDefault="00B544FE" w:rsidP="00F8744C">
            <w:pPr>
              <w:jc w:val="center"/>
              <w:rPr>
                <w:noProof/>
                <w:lang w:eastAsia="en-GB"/>
              </w:rPr>
            </w:pPr>
            <w:r>
              <w:rPr>
                <w:noProof/>
              </w:rPr>
              <w:drawing>
                <wp:inline distT="0" distB="0" distL="0" distR="0" wp14:anchorId="25A365F6" wp14:editId="088B6536">
                  <wp:extent cx="5772150" cy="2660400"/>
                  <wp:effectExtent l="0" t="0" r="0" b="6985"/>
                  <wp:docPr id="196220997" name="Chart 1">
                    <a:extLst xmlns:a="http://schemas.openxmlformats.org/drawingml/2006/main">
                      <a:ext uri="{FF2B5EF4-FFF2-40B4-BE49-F238E27FC236}">
                        <a16:creationId xmlns:a16="http://schemas.microsoft.com/office/drawing/2014/main" id="{00000000-0008-0000-06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r w:rsidR="00D34955" w14:paraId="6F5AFFA1" w14:textId="77777777" w:rsidTr="003160D7">
        <w:tc>
          <w:tcPr>
            <w:tcW w:w="10550" w:type="dxa"/>
            <w:gridSpan w:val="6"/>
            <w:shd w:val="clear" w:color="auto" w:fill="5B9BD5" w:themeFill="accent1"/>
          </w:tcPr>
          <w:p w14:paraId="34CB1E6D" w14:textId="77777777" w:rsidR="004F7593" w:rsidRPr="005359B6" w:rsidRDefault="00B544FE" w:rsidP="003160D7">
            <w:pPr>
              <w:rPr>
                <w:b/>
                <w:color w:val="FFFFFF" w:themeColor="background1"/>
              </w:rPr>
            </w:pPr>
            <w:r w:rsidRPr="005359B6">
              <w:rPr>
                <w:b/>
                <w:color w:val="FFFFFF" w:themeColor="background1"/>
              </w:rPr>
              <w:t>Cumulative Performance</w:t>
            </w:r>
          </w:p>
        </w:tc>
      </w:tr>
      <w:tr w:rsidR="00D34955" w14:paraId="57B1B3B4" w14:textId="77777777" w:rsidTr="00640CA1">
        <w:tc>
          <w:tcPr>
            <w:tcW w:w="10550" w:type="dxa"/>
            <w:gridSpan w:val="6"/>
          </w:tcPr>
          <w:p w14:paraId="110DC0FF" w14:textId="77777777" w:rsidR="004F7593" w:rsidRDefault="00B544FE" w:rsidP="00F8744C">
            <w:pPr>
              <w:jc w:val="center"/>
              <w:rPr>
                <w:noProof/>
                <w:lang w:eastAsia="en-GB"/>
              </w:rPr>
            </w:pPr>
            <w:r>
              <w:rPr>
                <w:noProof/>
              </w:rPr>
              <w:drawing>
                <wp:inline distT="0" distB="0" distL="0" distR="0" wp14:anchorId="66B69019" wp14:editId="04C2F3DD">
                  <wp:extent cx="5770800" cy="2660400"/>
                  <wp:effectExtent l="0" t="0" r="1905" b="6985"/>
                  <wp:docPr id="61452166" name="Chart 1">
                    <a:extLst xmlns:a="http://schemas.openxmlformats.org/drawingml/2006/main">
                      <a:ext uri="{FF2B5EF4-FFF2-40B4-BE49-F238E27FC236}">
                        <a16:creationId xmlns:a16="http://schemas.microsoft.com/office/drawing/2014/main" id="{00000000-0008-0000-06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r w:rsidR="00D34955" w14:paraId="0E5D8A9C" w14:textId="77777777" w:rsidTr="003160D7">
        <w:tc>
          <w:tcPr>
            <w:tcW w:w="5275" w:type="dxa"/>
            <w:gridSpan w:val="3"/>
          </w:tcPr>
          <w:p w14:paraId="5747DBA7" w14:textId="77777777" w:rsidR="004F7593" w:rsidRPr="00631FB9" w:rsidRDefault="00B544FE" w:rsidP="003160D7">
            <w:pPr>
              <w:rPr>
                <w:b/>
                <w:sz w:val="24"/>
                <w:szCs w:val="24"/>
              </w:rPr>
            </w:pPr>
            <w:r>
              <w:rPr>
                <w:b/>
                <w:sz w:val="24"/>
                <w:szCs w:val="24"/>
              </w:rPr>
              <w:t xml:space="preserve">TC03 Total number of primary fires </w:t>
            </w:r>
            <w:proofErr w:type="gramStart"/>
            <w:r>
              <w:rPr>
                <w:b/>
                <w:sz w:val="24"/>
                <w:szCs w:val="24"/>
              </w:rPr>
              <w:t>attended</w:t>
            </w:r>
            <w:proofErr w:type="gramEnd"/>
            <w:r>
              <w:rPr>
                <w:b/>
                <w:sz w:val="24"/>
                <w:szCs w:val="24"/>
              </w:rPr>
              <w:t xml:space="preserve"> </w:t>
            </w:r>
          </w:p>
          <w:p w14:paraId="7AC278A5" w14:textId="77777777" w:rsidR="004F7593" w:rsidRDefault="004F7593" w:rsidP="003160D7">
            <w:pPr>
              <w:jc w:val="center"/>
              <w:rPr>
                <w:noProof/>
                <w:lang w:eastAsia="en-GB"/>
              </w:rPr>
            </w:pPr>
          </w:p>
        </w:tc>
        <w:tc>
          <w:tcPr>
            <w:tcW w:w="5275" w:type="dxa"/>
            <w:gridSpan w:val="3"/>
            <w:shd w:val="clear" w:color="auto" w:fill="00B050"/>
          </w:tcPr>
          <w:p w14:paraId="119B5020" w14:textId="77777777" w:rsidR="004F7593" w:rsidRDefault="004F7593" w:rsidP="003160D7">
            <w:pPr>
              <w:jc w:val="center"/>
              <w:rPr>
                <w:noProof/>
                <w:lang w:eastAsia="en-GB"/>
              </w:rPr>
            </w:pPr>
          </w:p>
        </w:tc>
      </w:tr>
      <w:tr w:rsidR="00D34955" w14:paraId="1ADEB7D9" w14:textId="77777777" w:rsidTr="003160D7">
        <w:tc>
          <w:tcPr>
            <w:tcW w:w="3179" w:type="dxa"/>
          </w:tcPr>
          <w:p w14:paraId="359B31E1" w14:textId="77777777" w:rsidR="004F7593" w:rsidRDefault="00B544FE" w:rsidP="003160D7">
            <w:pPr>
              <w:rPr>
                <w:noProof/>
                <w:lang w:eastAsia="en-GB"/>
              </w:rPr>
            </w:pPr>
            <w:r w:rsidRPr="00631FB9">
              <w:rPr>
                <w:b/>
              </w:rPr>
              <w:t>TC03</w:t>
            </w:r>
          </w:p>
        </w:tc>
        <w:tc>
          <w:tcPr>
            <w:tcW w:w="7371" w:type="dxa"/>
            <w:gridSpan w:val="5"/>
          </w:tcPr>
          <w:p w14:paraId="1DD548DA" w14:textId="77777777" w:rsidR="004F7593" w:rsidRDefault="00B544FE" w:rsidP="00FA59EE">
            <w:r>
              <w:t xml:space="preserve">During the </w:t>
            </w:r>
            <w:r w:rsidR="009120DE">
              <w:t>2nd</w:t>
            </w:r>
            <w:r>
              <w:t xml:space="preserve"> quarter of </w:t>
            </w:r>
            <w:r w:rsidR="00BD5E8A">
              <w:t>202</w:t>
            </w:r>
            <w:r w:rsidR="004310F3">
              <w:t>4</w:t>
            </w:r>
            <w:r>
              <w:t>/2</w:t>
            </w:r>
            <w:r w:rsidR="004310F3">
              <w:t>5</w:t>
            </w:r>
            <w:r>
              <w:t xml:space="preserve"> crews attended </w:t>
            </w:r>
            <w:r w:rsidR="009120DE">
              <w:t>818</w:t>
            </w:r>
            <w:r>
              <w:t xml:space="preserve"> Primary Fires.   This is </w:t>
            </w:r>
            <w:r w:rsidR="009120DE">
              <w:t>170 below the cumulative target of 988.</w:t>
            </w:r>
            <w:r>
              <w:t xml:space="preserve"> </w:t>
            </w:r>
          </w:p>
          <w:p w14:paraId="1A588AF2" w14:textId="77777777" w:rsidR="004F7593" w:rsidRDefault="004F7593" w:rsidP="00FA59EE"/>
          <w:p w14:paraId="51D71EC9" w14:textId="77777777" w:rsidR="004F7593" w:rsidRDefault="00B544FE" w:rsidP="00FA59EE">
            <w:r>
              <w:t xml:space="preserve">The number of dwelling fires attended remain below cumulative targets.  </w:t>
            </w:r>
          </w:p>
          <w:p w14:paraId="44C4D9B0" w14:textId="77777777" w:rsidR="004F7593" w:rsidRDefault="004F7593" w:rsidP="003160D7"/>
          <w:p w14:paraId="4EE01884" w14:textId="77777777" w:rsidR="004F7593" w:rsidRDefault="00B544FE" w:rsidP="003160D7">
            <w:r>
              <w:t xml:space="preserve">Deliberate vehicle fires to date during </w:t>
            </w:r>
            <w:r w:rsidR="00BD5E8A">
              <w:t>202</w:t>
            </w:r>
            <w:r w:rsidR="004310F3">
              <w:t>4</w:t>
            </w:r>
            <w:r>
              <w:t>/2</w:t>
            </w:r>
            <w:r w:rsidR="004310F3">
              <w:t>5</w:t>
            </w:r>
            <w:r>
              <w:t xml:space="preserve"> (</w:t>
            </w:r>
            <w:r w:rsidR="009120DE">
              <w:t>112</w:t>
            </w:r>
            <w:r>
              <w:t>) have decreased when compared to</w:t>
            </w:r>
            <w:r w:rsidR="0084057E">
              <w:t xml:space="preserve"> </w:t>
            </w:r>
            <w:r w:rsidR="009120DE">
              <w:t>128</w:t>
            </w:r>
            <w:r w:rsidR="0084057E">
              <w:t xml:space="preserve"> in 2023/24</w:t>
            </w:r>
            <w:r w:rsidR="009120DE">
              <w:t xml:space="preserve"> and 62 below the target of 17</w:t>
            </w:r>
            <w:r w:rsidR="00BC3465">
              <w:t>4.</w:t>
            </w:r>
          </w:p>
          <w:p w14:paraId="06196928" w14:textId="77777777" w:rsidR="004F7593" w:rsidRDefault="004F7593" w:rsidP="003160D7"/>
          <w:p w14:paraId="17E3D7E9" w14:textId="77777777" w:rsidR="004F7593" w:rsidRDefault="00B544FE" w:rsidP="003160D7">
            <w:pPr>
              <w:rPr>
                <w:noProof/>
                <w:lang w:eastAsia="en-GB"/>
              </w:rPr>
            </w:pPr>
            <w:r>
              <w:t>Primary fires involve an insurable loss and includes all property related fires, or large-scale secondary fires where 5 or more appliances are in attendance.</w:t>
            </w:r>
          </w:p>
        </w:tc>
      </w:tr>
    </w:tbl>
    <w:p w14:paraId="6D3FCE21" w14:textId="77777777" w:rsidR="004F7593" w:rsidRDefault="004F7593"/>
    <w:p w14:paraId="43D3C113" w14:textId="77777777" w:rsidR="004F7593" w:rsidRDefault="004F7593"/>
    <w:tbl>
      <w:tblPr>
        <w:tblStyle w:val="TableGrid"/>
        <w:tblW w:w="10692" w:type="dxa"/>
        <w:tblInd w:w="-7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Look w:val="04A0" w:firstRow="1" w:lastRow="0" w:firstColumn="1" w:lastColumn="0" w:noHBand="0" w:noVBand="1"/>
      </w:tblPr>
      <w:tblGrid>
        <w:gridCol w:w="2266"/>
        <w:gridCol w:w="804"/>
        <w:gridCol w:w="2408"/>
        <w:gridCol w:w="3271"/>
        <w:gridCol w:w="1943"/>
      </w:tblGrid>
      <w:tr w:rsidR="00D34955" w14:paraId="40F8542F" w14:textId="77777777" w:rsidTr="003160D7">
        <w:tc>
          <w:tcPr>
            <w:tcW w:w="10692" w:type="dxa"/>
            <w:gridSpan w:val="5"/>
            <w:shd w:val="clear" w:color="auto" w:fill="FFFFFF" w:themeFill="background1"/>
          </w:tcPr>
          <w:tbl>
            <w:tblPr>
              <w:tblStyle w:val="TableGrid"/>
              <w:tblpPr w:leftFromText="180" w:rightFromText="180" w:vertAnchor="text" w:horzAnchor="margin" w:tblpX="-152" w:tblpY="-209"/>
              <w:tblOverlap w:val="never"/>
              <w:tblW w:w="10632"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Look w:val="04A0" w:firstRow="1" w:lastRow="0" w:firstColumn="1" w:lastColumn="0" w:noHBand="0" w:noVBand="1"/>
            </w:tblPr>
            <w:tblGrid>
              <w:gridCol w:w="8647"/>
              <w:gridCol w:w="1985"/>
            </w:tblGrid>
            <w:tr w:rsidR="00D34955" w14:paraId="30C7A94C" w14:textId="77777777" w:rsidTr="003160D7">
              <w:trPr>
                <w:trHeight w:val="296"/>
              </w:trPr>
              <w:tc>
                <w:tcPr>
                  <w:tcW w:w="8647" w:type="dxa"/>
                  <w:shd w:val="clear" w:color="auto" w:fill="FFFFFF" w:themeFill="background1"/>
                </w:tcPr>
                <w:p w14:paraId="2DA2BDC3" w14:textId="77777777" w:rsidR="004F7593" w:rsidRPr="007A1AAD" w:rsidRDefault="00B544FE" w:rsidP="003160D7">
                  <w:pPr>
                    <w:rPr>
                      <w:b/>
                      <w:sz w:val="24"/>
                      <w:szCs w:val="24"/>
                    </w:rPr>
                  </w:pPr>
                  <w:r w:rsidRPr="007A1AAD">
                    <w:rPr>
                      <w:b/>
                      <w:sz w:val="24"/>
                      <w:szCs w:val="24"/>
                    </w:rPr>
                    <w:t>DC11   Number of accidental dwelling fires</w:t>
                  </w:r>
                </w:p>
              </w:tc>
              <w:tc>
                <w:tcPr>
                  <w:tcW w:w="1985" w:type="dxa"/>
                  <w:shd w:val="clear" w:color="auto" w:fill="00B050"/>
                </w:tcPr>
                <w:p w14:paraId="57569CBB" w14:textId="77777777" w:rsidR="004F7593" w:rsidRDefault="004F7593" w:rsidP="003160D7"/>
              </w:tc>
            </w:tr>
            <w:tr w:rsidR="00D34955" w14:paraId="3EEB166F" w14:textId="77777777" w:rsidTr="00397BD1">
              <w:trPr>
                <w:trHeight w:val="293"/>
              </w:trPr>
              <w:tc>
                <w:tcPr>
                  <w:tcW w:w="8647" w:type="dxa"/>
                  <w:shd w:val="clear" w:color="auto" w:fill="FFFFFF" w:themeFill="background1"/>
                </w:tcPr>
                <w:p w14:paraId="76B689A5" w14:textId="77777777" w:rsidR="004F7593" w:rsidRPr="007A1AAD" w:rsidRDefault="00B544FE" w:rsidP="003160D7">
                  <w:pPr>
                    <w:rPr>
                      <w:b/>
                      <w:sz w:val="24"/>
                      <w:szCs w:val="24"/>
                    </w:rPr>
                  </w:pPr>
                  <w:r w:rsidRPr="007A1AAD">
                    <w:rPr>
                      <w:b/>
                      <w:sz w:val="24"/>
                      <w:szCs w:val="24"/>
                    </w:rPr>
                    <w:t>DC12   Number of fatalities in accidental dwelling fires</w:t>
                  </w:r>
                </w:p>
              </w:tc>
              <w:tc>
                <w:tcPr>
                  <w:tcW w:w="1985" w:type="dxa"/>
                  <w:shd w:val="clear" w:color="auto" w:fill="FF0000"/>
                </w:tcPr>
                <w:p w14:paraId="53CB7241" w14:textId="77777777" w:rsidR="004F7593" w:rsidRDefault="004F7593" w:rsidP="003160D7">
                  <w:pPr>
                    <w:rPr>
                      <w:sz w:val="24"/>
                      <w:szCs w:val="24"/>
                    </w:rPr>
                  </w:pPr>
                </w:p>
              </w:tc>
            </w:tr>
            <w:tr w:rsidR="00D34955" w14:paraId="67FA9BA3" w14:textId="77777777" w:rsidTr="003160D7">
              <w:trPr>
                <w:trHeight w:val="293"/>
              </w:trPr>
              <w:tc>
                <w:tcPr>
                  <w:tcW w:w="8647" w:type="dxa"/>
                  <w:shd w:val="clear" w:color="auto" w:fill="FFFFFF" w:themeFill="background1"/>
                </w:tcPr>
                <w:p w14:paraId="5BC86C9A" w14:textId="77777777" w:rsidR="004F7593" w:rsidRPr="007A1AAD" w:rsidRDefault="00B544FE" w:rsidP="003160D7">
                  <w:pPr>
                    <w:rPr>
                      <w:b/>
                      <w:sz w:val="24"/>
                      <w:szCs w:val="24"/>
                    </w:rPr>
                  </w:pPr>
                  <w:r>
                    <w:rPr>
                      <w:b/>
                      <w:sz w:val="24"/>
                      <w:szCs w:val="24"/>
                    </w:rPr>
                    <w:t>DC13   Number of injuries in</w:t>
                  </w:r>
                  <w:r w:rsidRPr="007A1AAD">
                    <w:rPr>
                      <w:b/>
                      <w:sz w:val="24"/>
                      <w:szCs w:val="24"/>
                    </w:rPr>
                    <w:t xml:space="preserve"> accidental dwelling fires</w:t>
                  </w:r>
                </w:p>
              </w:tc>
              <w:tc>
                <w:tcPr>
                  <w:tcW w:w="1985" w:type="dxa"/>
                  <w:shd w:val="clear" w:color="auto" w:fill="00B050"/>
                </w:tcPr>
                <w:p w14:paraId="32FB2657" w14:textId="77777777" w:rsidR="004F7593" w:rsidRDefault="004F7593" w:rsidP="003160D7">
                  <w:pPr>
                    <w:rPr>
                      <w:sz w:val="24"/>
                      <w:szCs w:val="24"/>
                    </w:rPr>
                  </w:pPr>
                </w:p>
              </w:tc>
            </w:tr>
            <w:tr w:rsidR="00D34955" w14:paraId="11EA97D3" w14:textId="77777777" w:rsidTr="003160D7">
              <w:trPr>
                <w:trHeight w:val="293"/>
              </w:trPr>
              <w:tc>
                <w:tcPr>
                  <w:tcW w:w="8647" w:type="dxa"/>
                  <w:shd w:val="clear" w:color="auto" w:fill="FFFFFF" w:themeFill="background1"/>
                </w:tcPr>
                <w:p w14:paraId="1431B9B9" w14:textId="77777777" w:rsidR="004F7593" w:rsidRPr="007A1AAD" w:rsidRDefault="00B544FE" w:rsidP="003160D7">
                  <w:pPr>
                    <w:rPr>
                      <w:b/>
                      <w:sz w:val="24"/>
                      <w:szCs w:val="24"/>
                    </w:rPr>
                  </w:pPr>
                  <w:r w:rsidRPr="007A1AAD">
                    <w:rPr>
                      <w:b/>
                      <w:sz w:val="24"/>
                      <w:szCs w:val="24"/>
                    </w:rPr>
                    <w:t>DC14   Number of deliberate dwelling fires in occupied properties</w:t>
                  </w:r>
                </w:p>
              </w:tc>
              <w:tc>
                <w:tcPr>
                  <w:tcW w:w="1985" w:type="dxa"/>
                  <w:shd w:val="clear" w:color="auto" w:fill="00B050"/>
                </w:tcPr>
                <w:p w14:paraId="52AEAB33" w14:textId="77777777" w:rsidR="004F7593" w:rsidRDefault="004F7593" w:rsidP="003160D7">
                  <w:pPr>
                    <w:rPr>
                      <w:sz w:val="24"/>
                      <w:szCs w:val="24"/>
                    </w:rPr>
                  </w:pPr>
                </w:p>
              </w:tc>
            </w:tr>
            <w:tr w:rsidR="00D34955" w14:paraId="231E8F82" w14:textId="77777777" w:rsidTr="004C5A01">
              <w:trPr>
                <w:trHeight w:val="293"/>
              </w:trPr>
              <w:tc>
                <w:tcPr>
                  <w:tcW w:w="8647" w:type="dxa"/>
                  <w:shd w:val="clear" w:color="auto" w:fill="FFFFFF" w:themeFill="background1"/>
                </w:tcPr>
                <w:p w14:paraId="6FCF3A63" w14:textId="77777777" w:rsidR="004F7593" w:rsidRPr="007A1AAD" w:rsidRDefault="00B544FE" w:rsidP="003160D7">
                  <w:pPr>
                    <w:rPr>
                      <w:b/>
                      <w:sz w:val="24"/>
                      <w:szCs w:val="24"/>
                    </w:rPr>
                  </w:pPr>
                  <w:r w:rsidRPr="007A1AAD">
                    <w:rPr>
                      <w:b/>
                      <w:sz w:val="24"/>
                      <w:szCs w:val="24"/>
                    </w:rPr>
                    <w:t xml:space="preserve">DC15  </w:t>
                  </w:r>
                  <w:r>
                    <w:rPr>
                      <w:b/>
                      <w:sz w:val="24"/>
                      <w:szCs w:val="24"/>
                    </w:rPr>
                    <w:t xml:space="preserve"> </w:t>
                  </w:r>
                  <w:r w:rsidRPr="007A1AAD">
                    <w:rPr>
                      <w:b/>
                      <w:sz w:val="24"/>
                      <w:szCs w:val="24"/>
                    </w:rPr>
                    <w:t>Number of deliberate dwelling fires in unoccupied properties</w:t>
                  </w:r>
                </w:p>
              </w:tc>
              <w:tc>
                <w:tcPr>
                  <w:tcW w:w="1985" w:type="dxa"/>
                  <w:shd w:val="clear" w:color="auto" w:fill="00B050"/>
                </w:tcPr>
                <w:p w14:paraId="7BFFE5C4" w14:textId="77777777" w:rsidR="004F7593" w:rsidRDefault="004F7593" w:rsidP="003160D7">
                  <w:pPr>
                    <w:rPr>
                      <w:sz w:val="24"/>
                      <w:szCs w:val="24"/>
                    </w:rPr>
                  </w:pPr>
                </w:p>
              </w:tc>
            </w:tr>
            <w:tr w:rsidR="00D34955" w14:paraId="1301F518" w14:textId="77777777" w:rsidTr="003160D7">
              <w:trPr>
                <w:trHeight w:val="293"/>
              </w:trPr>
              <w:tc>
                <w:tcPr>
                  <w:tcW w:w="8647" w:type="dxa"/>
                  <w:shd w:val="clear" w:color="auto" w:fill="FFFFFF" w:themeFill="background1"/>
                </w:tcPr>
                <w:p w14:paraId="66743914" w14:textId="77777777" w:rsidR="004F7593" w:rsidRPr="007A1AAD" w:rsidRDefault="00B544FE" w:rsidP="003160D7">
                  <w:pPr>
                    <w:rPr>
                      <w:b/>
                      <w:sz w:val="24"/>
                      <w:szCs w:val="24"/>
                    </w:rPr>
                  </w:pPr>
                  <w:r w:rsidRPr="007A1AAD">
                    <w:rPr>
                      <w:b/>
                      <w:sz w:val="24"/>
                      <w:szCs w:val="24"/>
                    </w:rPr>
                    <w:t>DC16   Number of deaths occurring in deliberate dwelling fires</w:t>
                  </w:r>
                </w:p>
              </w:tc>
              <w:tc>
                <w:tcPr>
                  <w:tcW w:w="1985" w:type="dxa"/>
                  <w:shd w:val="clear" w:color="auto" w:fill="00B050"/>
                </w:tcPr>
                <w:p w14:paraId="13BE9FB7" w14:textId="77777777" w:rsidR="004F7593" w:rsidRDefault="004F7593" w:rsidP="003160D7">
                  <w:pPr>
                    <w:rPr>
                      <w:sz w:val="24"/>
                      <w:szCs w:val="24"/>
                    </w:rPr>
                  </w:pPr>
                </w:p>
              </w:tc>
            </w:tr>
            <w:tr w:rsidR="00D34955" w14:paraId="5898E374" w14:textId="77777777" w:rsidTr="004C5A01">
              <w:trPr>
                <w:trHeight w:val="293"/>
              </w:trPr>
              <w:tc>
                <w:tcPr>
                  <w:tcW w:w="8647" w:type="dxa"/>
                  <w:shd w:val="clear" w:color="auto" w:fill="FFFFFF" w:themeFill="background1"/>
                </w:tcPr>
                <w:p w14:paraId="4D244361" w14:textId="77777777" w:rsidR="004F7593" w:rsidRPr="007A1AAD" w:rsidRDefault="00B544FE" w:rsidP="003160D7">
                  <w:pPr>
                    <w:rPr>
                      <w:b/>
                      <w:sz w:val="24"/>
                      <w:szCs w:val="24"/>
                    </w:rPr>
                  </w:pPr>
                  <w:r w:rsidRPr="007A1AAD">
                    <w:rPr>
                      <w:b/>
                      <w:sz w:val="24"/>
                      <w:szCs w:val="24"/>
                    </w:rPr>
                    <w:t xml:space="preserve">DC17   Number of </w:t>
                  </w:r>
                  <w:r w:rsidRPr="007A1AAD">
                    <w:rPr>
                      <w:b/>
                      <w:sz w:val="24"/>
                      <w:szCs w:val="24"/>
                    </w:rPr>
                    <w:t>injuries occurring in deliberate dwelling fires</w:t>
                  </w:r>
                </w:p>
              </w:tc>
              <w:tc>
                <w:tcPr>
                  <w:tcW w:w="1985" w:type="dxa"/>
                  <w:shd w:val="clear" w:color="auto" w:fill="FF0000"/>
                </w:tcPr>
                <w:p w14:paraId="0339B9C8" w14:textId="77777777" w:rsidR="004F7593" w:rsidRDefault="004F7593" w:rsidP="003160D7">
                  <w:pPr>
                    <w:rPr>
                      <w:sz w:val="24"/>
                      <w:szCs w:val="24"/>
                    </w:rPr>
                  </w:pPr>
                </w:p>
              </w:tc>
            </w:tr>
          </w:tbl>
          <w:p w14:paraId="7C5AC303" w14:textId="77777777" w:rsidR="004F7593" w:rsidRPr="005359B6" w:rsidRDefault="004F7593" w:rsidP="003160D7">
            <w:pPr>
              <w:rPr>
                <w:b/>
                <w:color w:val="FFFFFF" w:themeColor="background1"/>
                <w:sz w:val="24"/>
                <w:szCs w:val="24"/>
              </w:rPr>
            </w:pPr>
          </w:p>
        </w:tc>
      </w:tr>
      <w:tr w:rsidR="00D34955" w14:paraId="68E6BA32" w14:textId="77777777" w:rsidTr="003160D7">
        <w:tc>
          <w:tcPr>
            <w:tcW w:w="10692" w:type="dxa"/>
            <w:gridSpan w:val="5"/>
            <w:shd w:val="clear" w:color="auto" w:fill="5B9BD5" w:themeFill="accent1"/>
          </w:tcPr>
          <w:p w14:paraId="11C25FED" w14:textId="77777777" w:rsidR="004F7593" w:rsidRPr="005359B6" w:rsidRDefault="00B544FE" w:rsidP="003160D7">
            <w:pPr>
              <w:jc w:val="center"/>
              <w:rPr>
                <w:b/>
                <w:sz w:val="24"/>
                <w:szCs w:val="24"/>
              </w:rPr>
            </w:pPr>
            <w:r w:rsidRPr="005359B6">
              <w:rPr>
                <w:b/>
                <w:color w:val="FFFFFF" w:themeColor="background1"/>
                <w:sz w:val="24"/>
                <w:szCs w:val="24"/>
              </w:rPr>
              <w:t>COMMENTARY:</w:t>
            </w:r>
          </w:p>
        </w:tc>
      </w:tr>
      <w:tr w:rsidR="00D34955" w14:paraId="5C7F90F0" w14:textId="77777777" w:rsidTr="003160D7">
        <w:tc>
          <w:tcPr>
            <w:tcW w:w="2266" w:type="dxa"/>
          </w:tcPr>
          <w:p w14:paraId="76820BB8" w14:textId="77777777" w:rsidR="004F7593" w:rsidRPr="004F0C38" w:rsidRDefault="004F7593" w:rsidP="003160D7">
            <w:pPr>
              <w:rPr>
                <w:b/>
              </w:rPr>
            </w:pPr>
          </w:p>
          <w:p w14:paraId="76087FD6" w14:textId="77777777" w:rsidR="004F7593" w:rsidRPr="004F0C38" w:rsidRDefault="00B544FE" w:rsidP="003160D7">
            <w:pPr>
              <w:rPr>
                <w:b/>
              </w:rPr>
            </w:pPr>
            <w:r w:rsidRPr="004F0C38">
              <w:rPr>
                <w:b/>
              </w:rPr>
              <w:t>DC11</w:t>
            </w:r>
          </w:p>
        </w:tc>
        <w:tc>
          <w:tcPr>
            <w:tcW w:w="8426" w:type="dxa"/>
            <w:gridSpan w:val="4"/>
          </w:tcPr>
          <w:p w14:paraId="3F1D2775" w14:textId="38A55AB2" w:rsidR="004F7593" w:rsidRPr="004F0C38" w:rsidRDefault="00B544FE" w:rsidP="00D75172">
            <w:pPr>
              <w:jc w:val="both"/>
            </w:pPr>
            <w:r w:rsidRPr="004F0C38">
              <w:t xml:space="preserve">Accidental dwelling fires during </w:t>
            </w:r>
            <w:r w:rsidR="00BD5E8A" w:rsidRPr="004F0C38">
              <w:t>202</w:t>
            </w:r>
            <w:r w:rsidR="004310F3">
              <w:t>4</w:t>
            </w:r>
            <w:r w:rsidRPr="004F0C38">
              <w:t>/2</w:t>
            </w:r>
            <w:r w:rsidR="004310F3">
              <w:t>5</w:t>
            </w:r>
            <w:r w:rsidRPr="004F0C38">
              <w:t xml:space="preserve"> at </w:t>
            </w:r>
            <w:r w:rsidR="009120DE">
              <w:t>327</w:t>
            </w:r>
            <w:r w:rsidRPr="004F0C38">
              <w:t xml:space="preserve"> are </w:t>
            </w:r>
            <w:r w:rsidR="004F0C38">
              <w:t xml:space="preserve">considerably </w:t>
            </w:r>
            <w:r w:rsidRPr="004F0C38">
              <w:t xml:space="preserve">lower than the cumulative target for quarter </w:t>
            </w:r>
            <w:r w:rsidR="009120DE">
              <w:t>2</w:t>
            </w:r>
            <w:r w:rsidRPr="004F0C38">
              <w:t xml:space="preserve"> (</w:t>
            </w:r>
            <w:r w:rsidR="009120DE">
              <w:t>397</w:t>
            </w:r>
            <w:r w:rsidRPr="004F0C38">
              <w:t>).   This performance is</w:t>
            </w:r>
            <w:r w:rsidR="004310F3">
              <w:t xml:space="preserve"> </w:t>
            </w:r>
            <w:r w:rsidR="009120DE">
              <w:t xml:space="preserve">slightly increased </w:t>
            </w:r>
            <w:r w:rsidR="000775C7">
              <w:t>i</w:t>
            </w:r>
            <w:r w:rsidR="009120DE">
              <w:t>n</w:t>
            </w:r>
            <w:r w:rsidR="004310F3">
              <w:t xml:space="preserve"> Q</w:t>
            </w:r>
            <w:r w:rsidR="009120DE">
              <w:t>2</w:t>
            </w:r>
            <w:r w:rsidR="004310F3">
              <w:t xml:space="preserve"> </w:t>
            </w:r>
            <w:r w:rsidRPr="004F0C38">
              <w:t>202</w:t>
            </w:r>
            <w:r w:rsidR="004310F3">
              <w:t>3</w:t>
            </w:r>
            <w:r w:rsidRPr="004F0C38">
              <w:t>/2</w:t>
            </w:r>
            <w:r w:rsidR="004310F3">
              <w:t>4</w:t>
            </w:r>
            <w:r w:rsidRPr="004F0C38">
              <w:t xml:space="preserve">, when </w:t>
            </w:r>
            <w:proofErr w:type="gramStart"/>
            <w:r w:rsidRPr="004F0C38">
              <w:t>crews  attended</w:t>
            </w:r>
            <w:proofErr w:type="gramEnd"/>
            <w:r w:rsidRPr="004F0C38">
              <w:t xml:space="preserve"> </w:t>
            </w:r>
            <w:r w:rsidR="009120DE">
              <w:t>315</w:t>
            </w:r>
            <w:r w:rsidRPr="004F0C38">
              <w:t xml:space="preserve"> accidental dwelling fires.  </w:t>
            </w:r>
          </w:p>
        </w:tc>
      </w:tr>
      <w:tr w:rsidR="00D34955" w14:paraId="08EEC80E" w14:textId="77777777" w:rsidTr="003160D7">
        <w:tc>
          <w:tcPr>
            <w:tcW w:w="2266" w:type="dxa"/>
          </w:tcPr>
          <w:p w14:paraId="24E8346F" w14:textId="77777777" w:rsidR="004F7593" w:rsidRPr="00BA141C" w:rsidRDefault="00B544FE" w:rsidP="003160D7">
            <w:pPr>
              <w:rPr>
                <w:b/>
              </w:rPr>
            </w:pPr>
            <w:r w:rsidRPr="00BA141C">
              <w:rPr>
                <w:b/>
              </w:rPr>
              <w:t>DC12</w:t>
            </w:r>
          </w:p>
        </w:tc>
        <w:tc>
          <w:tcPr>
            <w:tcW w:w="8426" w:type="dxa"/>
            <w:gridSpan w:val="4"/>
          </w:tcPr>
          <w:p w14:paraId="7B3059B7" w14:textId="77777777" w:rsidR="004F7593" w:rsidRPr="004D68EF" w:rsidRDefault="00B544FE" w:rsidP="00D75172">
            <w:pPr>
              <w:jc w:val="both"/>
            </w:pPr>
            <w:r>
              <w:t xml:space="preserve">There </w:t>
            </w:r>
            <w:proofErr w:type="gramStart"/>
            <w:r>
              <w:t>has</w:t>
            </w:r>
            <w:proofErr w:type="gramEnd"/>
            <w:r>
              <w:t xml:space="preserve"> sadly been </w:t>
            </w:r>
            <w:r w:rsidR="009120DE">
              <w:t>4</w:t>
            </w:r>
            <w:r>
              <w:t xml:space="preserve"> fatalit</w:t>
            </w:r>
            <w:r w:rsidR="009120DE">
              <w:t>ies</w:t>
            </w:r>
            <w:r>
              <w:t xml:space="preserve"> in an accidental dwelling fire</w:t>
            </w:r>
            <w:r w:rsidR="009120DE">
              <w:t>s</w:t>
            </w:r>
            <w:r>
              <w:t xml:space="preserve"> to date.  </w:t>
            </w:r>
          </w:p>
        </w:tc>
      </w:tr>
      <w:tr w:rsidR="00D34955" w14:paraId="79BB5D40" w14:textId="77777777" w:rsidTr="003160D7">
        <w:tc>
          <w:tcPr>
            <w:tcW w:w="2266" w:type="dxa"/>
          </w:tcPr>
          <w:p w14:paraId="4B7D7D41" w14:textId="77777777" w:rsidR="004F7593" w:rsidRPr="00BA141C" w:rsidRDefault="00B544FE" w:rsidP="003160D7">
            <w:pPr>
              <w:rPr>
                <w:b/>
              </w:rPr>
            </w:pPr>
            <w:r w:rsidRPr="00BA141C">
              <w:rPr>
                <w:b/>
              </w:rPr>
              <w:t>DC13</w:t>
            </w:r>
          </w:p>
        </w:tc>
        <w:tc>
          <w:tcPr>
            <w:tcW w:w="8426" w:type="dxa"/>
            <w:gridSpan w:val="4"/>
          </w:tcPr>
          <w:p w14:paraId="283AFAFC" w14:textId="3A9543AB" w:rsidR="004F7593" w:rsidRPr="004D68EF" w:rsidRDefault="00B544FE" w:rsidP="003160D7">
            <w:pPr>
              <w:jc w:val="both"/>
            </w:pPr>
            <w:r>
              <w:t xml:space="preserve">There have been </w:t>
            </w:r>
            <w:r w:rsidR="009120DE">
              <w:t>27</w:t>
            </w:r>
            <w:r>
              <w:t xml:space="preserve"> injuries in Accidental Dwelling Fires.  This is </w:t>
            </w:r>
            <w:r w:rsidR="004F0C38">
              <w:t>below</w:t>
            </w:r>
            <w:r>
              <w:t xml:space="preserve"> the cumulative target of </w:t>
            </w:r>
            <w:r w:rsidR="009120DE">
              <w:t>31</w:t>
            </w:r>
            <w:r w:rsidR="004310F3">
              <w:t xml:space="preserve"> </w:t>
            </w:r>
            <w:r>
              <w:t xml:space="preserve">but </w:t>
            </w:r>
            <w:r w:rsidR="009120DE">
              <w:t>2 more</w:t>
            </w:r>
            <w:r w:rsidR="004310F3">
              <w:t xml:space="preserve"> than </w:t>
            </w:r>
            <w:r w:rsidR="000775C7">
              <w:t>20</w:t>
            </w:r>
            <w:r w:rsidR="004310F3">
              <w:t>23/24</w:t>
            </w:r>
            <w:r>
              <w:t>.</w:t>
            </w:r>
          </w:p>
        </w:tc>
      </w:tr>
      <w:tr w:rsidR="00D34955" w14:paraId="7A50EF76" w14:textId="77777777" w:rsidTr="003160D7">
        <w:tc>
          <w:tcPr>
            <w:tcW w:w="2266" w:type="dxa"/>
          </w:tcPr>
          <w:p w14:paraId="23F559F0" w14:textId="77777777" w:rsidR="004F7593" w:rsidRPr="00BA141C" w:rsidRDefault="00B544FE" w:rsidP="003160D7">
            <w:pPr>
              <w:rPr>
                <w:b/>
              </w:rPr>
            </w:pPr>
            <w:r w:rsidRPr="00BA141C">
              <w:rPr>
                <w:b/>
              </w:rPr>
              <w:t>DC14</w:t>
            </w:r>
          </w:p>
        </w:tc>
        <w:tc>
          <w:tcPr>
            <w:tcW w:w="8426" w:type="dxa"/>
            <w:gridSpan w:val="4"/>
          </w:tcPr>
          <w:p w14:paraId="1687FF11" w14:textId="77777777" w:rsidR="004F7593" w:rsidRPr="004D68EF" w:rsidRDefault="00B544FE" w:rsidP="003160D7">
            <w:pPr>
              <w:jc w:val="both"/>
            </w:pPr>
            <w:r>
              <w:t>Deliberate dwelling fires in occupied property (</w:t>
            </w:r>
            <w:r w:rsidR="009120DE">
              <w:t>47</w:t>
            </w:r>
            <w:r>
              <w:t>) is below the cumulative target (</w:t>
            </w:r>
            <w:r w:rsidR="009120DE">
              <w:t>62</w:t>
            </w:r>
            <w:r>
              <w:t>) and there have</w:t>
            </w:r>
            <w:r w:rsidR="004F0C38">
              <w:t xml:space="preserve"> been 1</w:t>
            </w:r>
            <w:r w:rsidR="009120DE">
              <w:t>8</w:t>
            </w:r>
            <w:r w:rsidR="004F0C38">
              <w:t xml:space="preserve"> </w:t>
            </w:r>
            <w:r>
              <w:t>fewer</w:t>
            </w:r>
            <w:r w:rsidR="009120DE">
              <w:t xml:space="preserve"> incidents</w:t>
            </w:r>
            <w:r w:rsidR="004F0C38">
              <w:t xml:space="preserve"> than</w:t>
            </w:r>
            <w:r>
              <w:t xml:space="preserve"> in </w:t>
            </w:r>
            <w:r w:rsidR="009120DE">
              <w:t xml:space="preserve">Q2 </w:t>
            </w:r>
            <w:r>
              <w:t>202</w:t>
            </w:r>
            <w:r w:rsidR="004310F3">
              <w:t>3</w:t>
            </w:r>
            <w:r>
              <w:t>/2</w:t>
            </w:r>
            <w:r w:rsidR="004310F3">
              <w:t>4</w:t>
            </w:r>
            <w:r>
              <w:t xml:space="preserve"> (</w:t>
            </w:r>
            <w:r w:rsidR="009120DE">
              <w:t>65</w:t>
            </w:r>
            <w:r>
              <w:t>).</w:t>
            </w:r>
          </w:p>
        </w:tc>
      </w:tr>
      <w:tr w:rsidR="00D34955" w14:paraId="42759368" w14:textId="77777777" w:rsidTr="003160D7">
        <w:tc>
          <w:tcPr>
            <w:tcW w:w="2266" w:type="dxa"/>
          </w:tcPr>
          <w:p w14:paraId="0DFF7C3A" w14:textId="77777777" w:rsidR="004F7593" w:rsidRPr="00BA141C" w:rsidRDefault="00B544FE" w:rsidP="003160D7">
            <w:pPr>
              <w:rPr>
                <w:b/>
              </w:rPr>
            </w:pPr>
            <w:r w:rsidRPr="00BA141C">
              <w:rPr>
                <w:b/>
              </w:rPr>
              <w:t>DC15</w:t>
            </w:r>
          </w:p>
        </w:tc>
        <w:tc>
          <w:tcPr>
            <w:tcW w:w="8426" w:type="dxa"/>
            <w:gridSpan w:val="4"/>
          </w:tcPr>
          <w:p w14:paraId="1D4D8860" w14:textId="77777777" w:rsidR="004F7593" w:rsidRPr="004D68EF" w:rsidRDefault="00B544FE" w:rsidP="003160D7">
            <w:pPr>
              <w:jc w:val="both"/>
            </w:pPr>
            <w:r>
              <w:t>Deliberate fires in unoccupied properties (</w:t>
            </w:r>
            <w:r w:rsidR="009120DE">
              <w:t>8</w:t>
            </w:r>
            <w:r>
              <w:t xml:space="preserve">) </w:t>
            </w:r>
            <w:proofErr w:type="gramStart"/>
            <w:r>
              <w:t>is</w:t>
            </w:r>
            <w:proofErr w:type="gramEnd"/>
            <w:r>
              <w:t xml:space="preserve"> </w:t>
            </w:r>
            <w:r w:rsidR="009120DE">
              <w:t>4</w:t>
            </w:r>
            <w:r w:rsidR="004310F3">
              <w:t xml:space="preserve"> less </w:t>
            </w:r>
            <w:r w:rsidR="004F0C38">
              <w:t xml:space="preserve">the target </w:t>
            </w:r>
            <w:r w:rsidR="009120DE">
              <w:t>12</w:t>
            </w:r>
            <w:r w:rsidR="004F0C38">
              <w:t xml:space="preserve"> and </w:t>
            </w:r>
            <w:r w:rsidR="009120DE">
              <w:t>1</w:t>
            </w:r>
            <w:r w:rsidR="004310F3">
              <w:t xml:space="preserve"> less than</w:t>
            </w:r>
            <w:r w:rsidR="004F0C38">
              <w:t xml:space="preserve"> this period last year</w:t>
            </w:r>
            <w:r w:rsidR="004310F3">
              <w:t xml:space="preserve"> (</w:t>
            </w:r>
            <w:r w:rsidR="009120DE">
              <w:t>9</w:t>
            </w:r>
            <w:r w:rsidR="004310F3">
              <w:t>)</w:t>
            </w:r>
          </w:p>
        </w:tc>
      </w:tr>
      <w:tr w:rsidR="00D34955" w14:paraId="6DCD6837" w14:textId="77777777" w:rsidTr="003160D7">
        <w:tc>
          <w:tcPr>
            <w:tcW w:w="2266" w:type="dxa"/>
          </w:tcPr>
          <w:p w14:paraId="33A4D007" w14:textId="77777777" w:rsidR="003866C2" w:rsidRDefault="00B544FE" w:rsidP="003160D7">
            <w:pPr>
              <w:rPr>
                <w:b/>
              </w:rPr>
            </w:pPr>
            <w:r w:rsidRPr="00BA141C">
              <w:rPr>
                <w:b/>
              </w:rPr>
              <w:t xml:space="preserve">DC16 </w:t>
            </w:r>
          </w:p>
          <w:p w14:paraId="54CD6ED0" w14:textId="77777777" w:rsidR="003866C2" w:rsidRDefault="003866C2" w:rsidP="003160D7">
            <w:pPr>
              <w:rPr>
                <w:b/>
              </w:rPr>
            </w:pPr>
          </w:p>
          <w:p w14:paraId="68210C55" w14:textId="77777777" w:rsidR="004F7593" w:rsidRPr="00BA141C" w:rsidRDefault="00B544FE" w:rsidP="003160D7">
            <w:pPr>
              <w:rPr>
                <w:b/>
              </w:rPr>
            </w:pPr>
            <w:r w:rsidRPr="00BA141C">
              <w:rPr>
                <w:b/>
              </w:rPr>
              <w:t>DC17</w:t>
            </w:r>
          </w:p>
          <w:p w14:paraId="56E312DC" w14:textId="77777777" w:rsidR="004F7593" w:rsidRPr="00BA141C" w:rsidRDefault="004F7593" w:rsidP="003160D7">
            <w:pPr>
              <w:rPr>
                <w:b/>
              </w:rPr>
            </w:pPr>
          </w:p>
        </w:tc>
        <w:tc>
          <w:tcPr>
            <w:tcW w:w="8426" w:type="dxa"/>
            <w:gridSpan w:val="4"/>
          </w:tcPr>
          <w:p w14:paraId="60577708" w14:textId="77777777" w:rsidR="003866C2" w:rsidRDefault="00B544FE" w:rsidP="00D75172">
            <w:pPr>
              <w:jc w:val="both"/>
            </w:pPr>
            <w:r>
              <w:t>There have been no fatalities in deliberate dwelling fires to date.</w:t>
            </w:r>
            <w:r w:rsidR="004310F3">
              <w:t xml:space="preserve">  </w:t>
            </w:r>
          </w:p>
          <w:p w14:paraId="167E6A71" w14:textId="77777777" w:rsidR="003866C2" w:rsidRDefault="003866C2" w:rsidP="00D75172">
            <w:pPr>
              <w:jc w:val="both"/>
            </w:pPr>
          </w:p>
          <w:p w14:paraId="0AC6202F" w14:textId="77777777" w:rsidR="004F7593" w:rsidRPr="004D68EF" w:rsidRDefault="00B544FE" w:rsidP="00D75172">
            <w:pPr>
              <w:jc w:val="both"/>
            </w:pPr>
            <w:r>
              <w:t xml:space="preserve">There have been 5 injuries in deliberate dwelling fires, </w:t>
            </w:r>
            <w:proofErr w:type="gramStart"/>
            <w:r>
              <w:t>all of</w:t>
            </w:r>
            <w:proofErr w:type="gramEnd"/>
            <w:r>
              <w:t xml:space="preserve"> a minor nature.  This is unusual for this type of incident.</w:t>
            </w:r>
          </w:p>
        </w:tc>
      </w:tr>
      <w:tr w:rsidR="00D34955" w14:paraId="08903E8E" w14:textId="77777777" w:rsidTr="003160D7">
        <w:tblPrEx>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Ex>
        <w:trPr>
          <w:trHeight w:val="424"/>
        </w:trPr>
        <w:tc>
          <w:tcPr>
            <w:tcW w:w="10692" w:type="dxa"/>
            <w:gridSpan w:val="5"/>
            <w:shd w:val="clear" w:color="auto" w:fill="5B9BD5" w:themeFill="accent1"/>
          </w:tcPr>
          <w:p w14:paraId="7C23E835" w14:textId="77777777" w:rsidR="004F7593" w:rsidRPr="005F20DB" w:rsidRDefault="00B544FE" w:rsidP="003160D7">
            <w:pPr>
              <w:rPr>
                <w:b/>
                <w:color w:val="FFFF00"/>
                <w:sz w:val="28"/>
                <w:szCs w:val="28"/>
              </w:rPr>
            </w:pPr>
            <w:r w:rsidRPr="00D96258">
              <w:rPr>
                <w:b/>
                <w:color w:val="FFFFFF" w:themeColor="background1"/>
                <w:sz w:val="28"/>
                <w:szCs w:val="28"/>
              </w:rPr>
              <w:t>DC11 Number of accidental fires in dwellings</w:t>
            </w:r>
          </w:p>
        </w:tc>
      </w:tr>
      <w:tr w:rsidR="00D34955" w14:paraId="2E906BF9" w14:textId="77777777" w:rsidTr="00AB1D40">
        <w:tblPrEx>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Ex>
        <w:trPr>
          <w:trHeight w:val="256"/>
        </w:trPr>
        <w:tc>
          <w:tcPr>
            <w:tcW w:w="3070" w:type="dxa"/>
            <w:gridSpan w:val="2"/>
            <w:shd w:val="clear" w:color="auto" w:fill="FFFF00"/>
            <w:vAlign w:val="center"/>
          </w:tcPr>
          <w:p w14:paraId="20BC8675" w14:textId="77777777" w:rsidR="004F7593" w:rsidRDefault="00B544FE" w:rsidP="003160D7">
            <w:pPr>
              <w:jc w:val="center"/>
            </w:pPr>
            <w:r w:rsidRPr="00C63E5E">
              <w:t>Service Plan Target</w:t>
            </w:r>
          </w:p>
          <w:p w14:paraId="7B7F0B2B" w14:textId="0B51CB45" w:rsidR="004F7593" w:rsidRDefault="00B544FE" w:rsidP="003160D7">
            <w:pPr>
              <w:jc w:val="center"/>
            </w:pPr>
            <w:r>
              <w:t>Apr-</w:t>
            </w:r>
            <w:r w:rsidR="001C1ABD">
              <w:t>Sept</w:t>
            </w:r>
            <w:r>
              <w:t xml:space="preserve"> </w:t>
            </w:r>
            <w:r w:rsidR="00BD5E8A">
              <w:t>202</w:t>
            </w:r>
            <w:r w:rsidR="004C5A01">
              <w:t>4</w:t>
            </w:r>
          </w:p>
        </w:tc>
        <w:tc>
          <w:tcPr>
            <w:tcW w:w="2408" w:type="dxa"/>
            <w:shd w:val="clear" w:color="auto" w:fill="D9E2F3" w:themeFill="accent5" w:themeFillTint="33"/>
            <w:vAlign w:val="center"/>
          </w:tcPr>
          <w:p w14:paraId="53DC7A90" w14:textId="77777777" w:rsidR="004F7593" w:rsidRPr="004D4B15" w:rsidRDefault="00B544FE" w:rsidP="00AB1D40">
            <w:pPr>
              <w:jc w:val="center"/>
              <w:rPr>
                <w:b/>
              </w:rPr>
            </w:pPr>
            <w:r>
              <w:rPr>
                <w:b/>
              </w:rPr>
              <w:t>397</w:t>
            </w:r>
          </w:p>
        </w:tc>
        <w:tc>
          <w:tcPr>
            <w:tcW w:w="3271" w:type="dxa"/>
            <w:shd w:val="clear" w:color="auto" w:fill="FFFF00"/>
            <w:vAlign w:val="center"/>
          </w:tcPr>
          <w:p w14:paraId="4C56CF96" w14:textId="77777777" w:rsidR="004F7593" w:rsidRDefault="00B544FE" w:rsidP="003160D7">
            <w:pPr>
              <w:jc w:val="center"/>
            </w:pPr>
            <w:r w:rsidRPr="00C63E5E">
              <w:t>Progress to Date</w:t>
            </w:r>
          </w:p>
        </w:tc>
        <w:tc>
          <w:tcPr>
            <w:tcW w:w="1943" w:type="dxa"/>
            <w:shd w:val="clear" w:color="auto" w:fill="00B050"/>
            <w:vAlign w:val="center"/>
          </w:tcPr>
          <w:p w14:paraId="39668F33" w14:textId="77777777" w:rsidR="004F7593" w:rsidRPr="006C577F" w:rsidRDefault="00B544FE" w:rsidP="003160D7">
            <w:pPr>
              <w:jc w:val="center"/>
              <w:rPr>
                <w:b/>
              </w:rPr>
            </w:pPr>
            <w:r>
              <w:rPr>
                <w:b/>
              </w:rPr>
              <w:t>327</w:t>
            </w:r>
          </w:p>
        </w:tc>
      </w:tr>
      <w:tr w:rsidR="00D34955" w14:paraId="70442D8C" w14:textId="77777777" w:rsidTr="00640CA1">
        <w:tblPrEx>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Ex>
        <w:trPr>
          <w:trHeight w:val="3715"/>
        </w:trPr>
        <w:tc>
          <w:tcPr>
            <w:tcW w:w="10692" w:type="dxa"/>
            <w:gridSpan w:val="5"/>
          </w:tcPr>
          <w:p w14:paraId="758AFE21" w14:textId="77777777" w:rsidR="004F7593" w:rsidRDefault="00B544FE" w:rsidP="00F8744C">
            <w:pPr>
              <w:jc w:val="center"/>
            </w:pPr>
            <w:r>
              <w:rPr>
                <w:noProof/>
              </w:rPr>
              <w:drawing>
                <wp:inline distT="0" distB="0" distL="0" distR="0" wp14:anchorId="46122486" wp14:editId="41100E35">
                  <wp:extent cx="5797304" cy="2660400"/>
                  <wp:effectExtent l="0" t="0" r="13335" b="6985"/>
                  <wp:docPr id="255215808" name="Chart 1">
                    <a:extLst xmlns:a="http://schemas.openxmlformats.org/drawingml/2006/main">
                      <a:ext uri="{FF2B5EF4-FFF2-40B4-BE49-F238E27FC236}">
                        <a16:creationId xmlns:a16="http://schemas.microsoft.com/office/drawing/2014/main" id="{00000000-0008-0000-07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bl>
    <w:p w14:paraId="029453EA" w14:textId="77777777" w:rsidR="004F7593" w:rsidRDefault="004F7593" w:rsidP="003160D7">
      <w:pPr>
        <w:sectPr w:rsidR="004F7593" w:rsidSect="003160D7">
          <w:footerReference w:type="default" r:id="rId21"/>
          <w:pgSz w:w="11906" w:h="16838"/>
          <w:pgMar w:top="720" w:right="720" w:bottom="720" w:left="720" w:header="708" w:footer="708" w:gutter="0"/>
          <w:cols w:space="708"/>
          <w:docGrid w:linePitch="360"/>
        </w:sectPr>
      </w:pPr>
    </w:p>
    <w:p w14:paraId="0F63FBD2" w14:textId="77777777" w:rsidR="004F7593" w:rsidRDefault="004F7593"/>
    <w:tbl>
      <w:tblPr>
        <w:tblStyle w:val="TableGrid"/>
        <w:tblW w:w="10757" w:type="dxa"/>
        <w:tblInd w:w="-70"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3271"/>
        <w:gridCol w:w="2445"/>
        <w:gridCol w:w="2940"/>
        <w:gridCol w:w="2101"/>
      </w:tblGrid>
      <w:tr w:rsidR="00D34955" w14:paraId="359D4067" w14:textId="77777777" w:rsidTr="003160D7">
        <w:trPr>
          <w:trHeight w:val="391"/>
        </w:trPr>
        <w:tc>
          <w:tcPr>
            <w:tcW w:w="10757" w:type="dxa"/>
            <w:gridSpan w:val="4"/>
            <w:shd w:val="clear" w:color="auto" w:fill="5B9BD5" w:themeFill="accent1"/>
          </w:tcPr>
          <w:p w14:paraId="09C06988" w14:textId="77777777" w:rsidR="004F7593" w:rsidRPr="005F20DB" w:rsidRDefault="00B544FE" w:rsidP="003160D7">
            <w:pPr>
              <w:rPr>
                <w:b/>
                <w:color w:val="FFFF00"/>
                <w:sz w:val="28"/>
                <w:szCs w:val="28"/>
              </w:rPr>
            </w:pPr>
            <w:r w:rsidRPr="00681F4B">
              <w:rPr>
                <w:b/>
                <w:color w:val="FFFFFF" w:themeColor="background1"/>
                <w:sz w:val="28"/>
                <w:szCs w:val="28"/>
              </w:rPr>
              <w:t>DC14 Number of deliberate dwelling fires in occupied properties</w:t>
            </w:r>
          </w:p>
        </w:tc>
      </w:tr>
      <w:tr w:rsidR="00D34955" w14:paraId="25AC9CC1" w14:textId="77777777" w:rsidTr="003160D7">
        <w:trPr>
          <w:trHeight w:val="256"/>
        </w:trPr>
        <w:tc>
          <w:tcPr>
            <w:tcW w:w="3271" w:type="dxa"/>
            <w:shd w:val="clear" w:color="auto" w:fill="FFFF00"/>
            <w:vAlign w:val="center"/>
          </w:tcPr>
          <w:p w14:paraId="6CBC7985" w14:textId="77777777" w:rsidR="004F7593" w:rsidRDefault="00B544FE" w:rsidP="003160D7">
            <w:pPr>
              <w:jc w:val="center"/>
            </w:pPr>
            <w:r w:rsidRPr="00C63E5E">
              <w:t>Service Plan Target</w:t>
            </w:r>
          </w:p>
          <w:p w14:paraId="158ED5CF" w14:textId="18F9CC56" w:rsidR="004F7593" w:rsidRDefault="00B544FE" w:rsidP="003160D7">
            <w:pPr>
              <w:jc w:val="center"/>
            </w:pPr>
            <w:r>
              <w:t>Apr-</w:t>
            </w:r>
            <w:r w:rsidR="001C1ABD">
              <w:t>Sept</w:t>
            </w:r>
            <w:r>
              <w:t xml:space="preserve"> </w:t>
            </w:r>
            <w:r w:rsidR="00BD5E8A">
              <w:t>202</w:t>
            </w:r>
            <w:r w:rsidR="004C5A01">
              <w:t>4</w:t>
            </w:r>
          </w:p>
        </w:tc>
        <w:tc>
          <w:tcPr>
            <w:tcW w:w="2445" w:type="dxa"/>
            <w:shd w:val="clear" w:color="auto" w:fill="D9E2F3" w:themeFill="accent5" w:themeFillTint="33"/>
            <w:vAlign w:val="center"/>
          </w:tcPr>
          <w:p w14:paraId="23AD2EA8" w14:textId="77777777" w:rsidR="004F7593" w:rsidRPr="004D4B15" w:rsidRDefault="00B544FE" w:rsidP="003160D7">
            <w:pPr>
              <w:jc w:val="center"/>
              <w:rPr>
                <w:b/>
              </w:rPr>
            </w:pPr>
            <w:r>
              <w:rPr>
                <w:b/>
              </w:rPr>
              <w:t>62</w:t>
            </w:r>
          </w:p>
        </w:tc>
        <w:tc>
          <w:tcPr>
            <w:tcW w:w="2940" w:type="dxa"/>
            <w:shd w:val="clear" w:color="auto" w:fill="FFFF00"/>
            <w:vAlign w:val="center"/>
          </w:tcPr>
          <w:p w14:paraId="45E3AF4F" w14:textId="77777777" w:rsidR="004F7593" w:rsidRDefault="00B544FE" w:rsidP="003160D7">
            <w:pPr>
              <w:jc w:val="center"/>
            </w:pPr>
            <w:r w:rsidRPr="00C63E5E">
              <w:t>Progress to Date</w:t>
            </w:r>
          </w:p>
        </w:tc>
        <w:tc>
          <w:tcPr>
            <w:tcW w:w="2101" w:type="dxa"/>
            <w:shd w:val="clear" w:color="auto" w:fill="00B050"/>
            <w:vAlign w:val="center"/>
          </w:tcPr>
          <w:p w14:paraId="4AC94017" w14:textId="77777777" w:rsidR="004F7593" w:rsidRPr="006C577F" w:rsidRDefault="00B544FE" w:rsidP="003160D7">
            <w:pPr>
              <w:jc w:val="center"/>
              <w:rPr>
                <w:b/>
              </w:rPr>
            </w:pPr>
            <w:r>
              <w:rPr>
                <w:b/>
              </w:rPr>
              <w:t>47</w:t>
            </w:r>
          </w:p>
        </w:tc>
      </w:tr>
      <w:tr w:rsidR="00D34955" w14:paraId="13E6F3F9" w14:textId="77777777" w:rsidTr="00640CA1">
        <w:trPr>
          <w:trHeight w:val="4231"/>
        </w:trPr>
        <w:tc>
          <w:tcPr>
            <w:tcW w:w="10757" w:type="dxa"/>
            <w:gridSpan w:val="4"/>
          </w:tcPr>
          <w:p w14:paraId="6A066F41" w14:textId="77777777" w:rsidR="004F7593" w:rsidRDefault="00B544FE" w:rsidP="00F8744C">
            <w:pPr>
              <w:jc w:val="center"/>
              <w:rPr>
                <w:noProof/>
                <w:lang w:eastAsia="en-GB"/>
              </w:rPr>
            </w:pPr>
            <w:r>
              <w:rPr>
                <w:noProof/>
              </w:rPr>
              <w:drawing>
                <wp:inline distT="0" distB="0" distL="0" distR="0" wp14:anchorId="1FFDE5D1" wp14:editId="6A663F3E">
                  <wp:extent cx="5797304" cy="2660400"/>
                  <wp:effectExtent l="0" t="0" r="13335" b="6985"/>
                  <wp:docPr id="2123958090" name="Chart 1">
                    <a:extLst xmlns:a="http://schemas.openxmlformats.org/drawingml/2006/main">
                      <a:ext uri="{FF2B5EF4-FFF2-40B4-BE49-F238E27FC236}">
                        <a16:creationId xmlns:a16="http://schemas.microsoft.com/office/drawing/2014/main" id="{00000000-0008-0000-0700-00001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r w:rsidR="00D34955" w14:paraId="56B4CE11" w14:textId="77777777" w:rsidTr="003160D7">
        <w:trPr>
          <w:trHeight w:val="354"/>
        </w:trPr>
        <w:tc>
          <w:tcPr>
            <w:tcW w:w="10757" w:type="dxa"/>
            <w:gridSpan w:val="4"/>
            <w:shd w:val="clear" w:color="auto" w:fill="5B9BD5" w:themeFill="accent1"/>
          </w:tcPr>
          <w:p w14:paraId="1E2A4564" w14:textId="77777777" w:rsidR="004F7593" w:rsidRPr="005F20DB" w:rsidRDefault="00B544FE" w:rsidP="003160D7">
            <w:pPr>
              <w:rPr>
                <w:b/>
                <w:color w:val="FFFF00"/>
                <w:sz w:val="28"/>
                <w:szCs w:val="28"/>
              </w:rPr>
            </w:pPr>
            <w:r w:rsidRPr="00681F4B">
              <w:rPr>
                <w:b/>
                <w:color w:val="FFFFFF" w:themeColor="background1"/>
                <w:sz w:val="28"/>
                <w:szCs w:val="28"/>
              </w:rPr>
              <w:t>DC15 Number of deliberate fires in unoccupied properties</w:t>
            </w:r>
          </w:p>
        </w:tc>
      </w:tr>
      <w:tr w:rsidR="00D34955" w14:paraId="615F21FF" w14:textId="77777777" w:rsidTr="004C5A01">
        <w:trPr>
          <w:trHeight w:val="256"/>
        </w:trPr>
        <w:tc>
          <w:tcPr>
            <w:tcW w:w="3271" w:type="dxa"/>
            <w:shd w:val="clear" w:color="auto" w:fill="FFFF00"/>
            <w:vAlign w:val="center"/>
          </w:tcPr>
          <w:p w14:paraId="7152399D" w14:textId="77777777" w:rsidR="004F7593" w:rsidRDefault="00B544FE" w:rsidP="003160D7">
            <w:pPr>
              <w:jc w:val="center"/>
            </w:pPr>
            <w:r w:rsidRPr="00C63E5E">
              <w:t>Service Plan Target</w:t>
            </w:r>
          </w:p>
          <w:p w14:paraId="7A793B43" w14:textId="4220B0FF" w:rsidR="004F7593" w:rsidRDefault="00B544FE" w:rsidP="003160D7">
            <w:pPr>
              <w:jc w:val="center"/>
            </w:pPr>
            <w:r>
              <w:t>Apr-</w:t>
            </w:r>
            <w:r w:rsidR="001C1ABD">
              <w:t>Sept</w:t>
            </w:r>
            <w:r>
              <w:t xml:space="preserve"> </w:t>
            </w:r>
            <w:r w:rsidR="00BD5E8A">
              <w:t>202</w:t>
            </w:r>
            <w:r>
              <w:t>4</w:t>
            </w:r>
          </w:p>
        </w:tc>
        <w:tc>
          <w:tcPr>
            <w:tcW w:w="2445" w:type="dxa"/>
            <w:shd w:val="clear" w:color="auto" w:fill="D9E2F3" w:themeFill="accent5" w:themeFillTint="33"/>
            <w:vAlign w:val="center"/>
          </w:tcPr>
          <w:p w14:paraId="17E363AA" w14:textId="77777777" w:rsidR="004F7593" w:rsidRPr="004D4B15" w:rsidRDefault="00B544FE" w:rsidP="003160D7">
            <w:pPr>
              <w:jc w:val="center"/>
              <w:rPr>
                <w:b/>
              </w:rPr>
            </w:pPr>
            <w:r>
              <w:rPr>
                <w:b/>
              </w:rPr>
              <w:t>12</w:t>
            </w:r>
          </w:p>
        </w:tc>
        <w:tc>
          <w:tcPr>
            <w:tcW w:w="2940" w:type="dxa"/>
            <w:shd w:val="clear" w:color="auto" w:fill="FFFF00"/>
            <w:vAlign w:val="center"/>
          </w:tcPr>
          <w:p w14:paraId="09734102" w14:textId="77777777" w:rsidR="004F7593" w:rsidRDefault="00B544FE" w:rsidP="003160D7">
            <w:pPr>
              <w:jc w:val="center"/>
            </w:pPr>
            <w:r w:rsidRPr="00C63E5E">
              <w:t>Progress to Date</w:t>
            </w:r>
          </w:p>
        </w:tc>
        <w:tc>
          <w:tcPr>
            <w:tcW w:w="2101" w:type="dxa"/>
            <w:shd w:val="clear" w:color="auto" w:fill="00B050"/>
            <w:vAlign w:val="center"/>
          </w:tcPr>
          <w:p w14:paraId="2591B1CF" w14:textId="77777777" w:rsidR="004F7593" w:rsidRPr="006C577F" w:rsidRDefault="00B544FE" w:rsidP="003160D7">
            <w:pPr>
              <w:jc w:val="center"/>
              <w:rPr>
                <w:b/>
              </w:rPr>
            </w:pPr>
            <w:r>
              <w:rPr>
                <w:b/>
              </w:rPr>
              <w:t>8</w:t>
            </w:r>
          </w:p>
        </w:tc>
      </w:tr>
      <w:tr w:rsidR="00D34955" w14:paraId="61AC1560" w14:textId="77777777" w:rsidTr="00640CA1">
        <w:trPr>
          <w:trHeight w:val="4291"/>
        </w:trPr>
        <w:tc>
          <w:tcPr>
            <w:tcW w:w="10757" w:type="dxa"/>
            <w:gridSpan w:val="4"/>
          </w:tcPr>
          <w:p w14:paraId="19A81EA3" w14:textId="77777777" w:rsidR="004F7593" w:rsidRDefault="00B544FE" w:rsidP="003160D7">
            <w:pPr>
              <w:jc w:val="center"/>
            </w:pPr>
            <w:r>
              <w:rPr>
                <w:noProof/>
              </w:rPr>
              <w:drawing>
                <wp:inline distT="0" distB="0" distL="0" distR="0" wp14:anchorId="6F950FD4" wp14:editId="448D1DD8">
                  <wp:extent cx="5797304" cy="2669925"/>
                  <wp:effectExtent l="0" t="0" r="13335" b="16510"/>
                  <wp:docPr id="318524921" name="Chart 1">
                    <a:extLst xmlns:a="http://schemas.openxmlformats.org/drawingml/2006/main">
                      <a:ext uri="{FF2B5EF4-FFF2-40B4-BE49-F238E27FC236}">
                        <a16:creationId xmlns:a16="http://schemas.microsoft.com/office/drawing/2014/main" id="{00000000-0008-0000-0700-00001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bl>
    <w:p w14:paraId="21BCECA0" w14:textId="77777777" w:rsidR="004F7593" w:rsidRDefault="004F7593"/>
    <w:p w14:paraId="67CE8D6A" w14:textId="77777777" w:rsidR="004F7593" w:rsidRDefault="004F7593"/>
    <w:p w14:paraId="7A140CCC" w14:textId="77777777" w:rsidR="004F7593" w:rsidRDefault="004F7593"/>
    <w:p w14:paraId="6E3BE086" w14:textId="77777777" w:rsidR="004F7593" w:rsidRDefault="004F7593"/>
    <w:p w14:paraId="0A215C9C" w14:textId="77777777" w:rsidR="004F7593" w:rsidRDefault="004F7593"/>
    <w:p w14:paraId="3CEA7DC0" w14:textId="77777777" w:rsidR="004F7593" w:rsidRDefault="004F7593"/>
    <w:p w14:paraId="0AE7079E" w14:textId="77777777" w:rsidR="004F7593" w:rsidRDefault="004F7593"/>
    <w:p w14:paraId="5C1BFC35" w14:textId="77777777" w:rsidR="004F7593" w:rsidRDefault="00B544FE">
      <w:r>
        <w:br w:type="page"/>
      </w:r>
    </w:p>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914"/>
        <w:gridCol w:w="25"/>
        <w:gridCol w:w="97"/>
        <w:gridCol w:w="26"/>
        <w:gridCol w:w="2149"/>
        <w:gridCol w:w="45"/>
        <w:gridCol w:w="2999"/>
        <w:gridCol w:w="98"/>
        <w:gridCol w:w="2093"/>
      </w:tblGrid>
      <w:tr w:rsidR="00D34955" w14:paraId="08FB4BEB" w14:textId="77777777" w:rsidTr="003160D7">
        <w:tc>
          <w:tcPr>
            <w:tcW w:w="10446" w:type="dxa"/>
            <w:gridSpan w:val="9"/>
            <w:shd w:val="clear" w:color="auto" w:fill="5B9BD5" w:themeFill="accent1"/>
          </w:tcPr>
          <w:p w14:paraId="38A765DB" w14:textId="77777777" w:rsidR="004F7593" w:rsidRPr="005F20DB" w:rsidRDefault="00B544FE" w:rsidP="003160D7">
            <w:pPr>
              <w:rPr>
                <w:b/>
                <w:color w:val="FFFF00"/>
                <w:sz w:val="28"/>
                <w:szCs w:val="28"/>
              </w:rPr>
            </w:pPr>
            <w:r w:rsidRPr="00681F4B">
              <w:rPr>
                <w:b/>
                <w:color w:val="FFFFFF" w:themeColor="background1"/>
                <w:sz w:val="28"/>
                <w:szCs w:val="28"/>
              </w:rPr>
              <w:t>TC</w:t>
            </w:r>
            <w:proofErr w:type="gramStart"/>
            <w:r w:rsidRPr="00681F4B">
              <w:rPr>
                <w:b/>
                <w:color w:val="FFFFFF" w:themeColor="background1"/>
                <w:sz w:val="28"/>
                <w:szCs w:val="28"/>
              </w:rPr>
              <w:t>04  Total</w:t>
            </w:r>
            <w:proofErr w:type="gramEnd"/>
            <w:r w:rsidRPr="00681F4B">
              <w:rPr>
                <w:b/>
                <w:color w:val="FFFFFF" w:themeColor="background1"/>
                <w:sz w:val="28"/>
                <w:szCs w:val="28"/>
              </w:rPr>
              <w:t xml:space="preserve"> number of secondary fires attended</w:t>
            </w:r>
          </w:p>
        </w:tc>
      </w:tr>
      <w:tr w:rsidR="00D34955" w14:paraId="4A9DAC19" w14:textId="77777777" w:rsidTr="00AB1D40">
        <w:tc>
          <w:tcPr>
            <w:tcW w:w="2914" w:type="dxa"/>
            <w:shd w:val="clear" w:color="auto" w:fill="FFFF00"/>
            <w:vAlign w:val="center"/>
          </w:tcPr>
          <w:p w14:paraId="2B9C232E" w14:textId="77777777" w:rsidR="004F7593" w:rsidRDefault="00B544FE" w:rsidP="003160D7">
            <w:pPr>
              <w:jc w:val="center"/>
            </w:pPr>
            <w:r>
              <w:t>Service Plan Target</w:t>
            </w:r>
          </w:p>
          <w:p w14:paraId="1FFE6704" w14:textId="7B32F17D" w:rsidR="004F7593" w:rsidRDefault="00B544FE" w:rsidP="003160D7">
            <w:pPr>
              <w:jc w:val="center"/>
            </w:pPr>
            <w:r>
              <w:t>Apr-</w:t>
            </w:r>
            <w:r w:rsidR="001C1ABD">
              <w:t>Sept</w:t>
            </w:r>
            <w:r>
              <w:t xml:space="preserve"> </w:t>
            </w:r>
            <w:r w:rsidR="00BD5E8A">
              <w:t>202</w:t>
            </w:r>
            <w:r w:rsidR="004C5A01">
              <w:t>4</w:t>
            </w:r>
          </w:p>
        </w:tc>
        <w:tc>
          <w:tcPr>
            <w:tcW w:w="2297" w:type="dxa"/>
            <w:gridSpan w:val="4"/>
            <w:shd w:val="clear" w:color="auto" w:fill="D9E2F3" w:themeFill="accent5" w:themeFillTint="33"/>
            <w:vAlign w:val="center"/>
          </w:tcPr>
          <w:p w14:paraId="7DC2CCFB" w14:textId="77777777" w:rsidR="004F7593" w:rsidRPr="004D4B15" w:rsidRDefault="00B544FE" w:rsidP="003160D7">
            <w:pPr>
              <w:jc w:val="center"/>
              <w:rPr>
                <w:b/>
              </w:rPr>
            </w:pPr>
            <w:r>
              <w:rPr>
                <w:b/>
              </w:rPr>
              <w:t>3355</w:t>
            </w:r>
          </w:p>
        </w:tc>
        <w:tc>
          <w:tcPr>
            <w:tcW w:w="3044" w:type="dxa"/>
            <w:gridSpan w:val="2"/>
            <w:shd w:val="clear" w:color="auto" w:fill="FFFF00"/>
            <w:vAlign w:val="center"/>
          </w:tcPr>
          <w:p w14:paraId="353EB2CB" w14:textId="77777777" w:rsidR="004F7593" w:rsidRDefault="00B544FE" w:rsidP="003160D7">
            <w:pPr>
              <w:jc w:val="center"/>
            </w:pPr>
            <w:r w:rsidRPr="00C63E5E">
              <w:t>Progress to Date</w:t>
            </w:r>
          </w:p>
        </w:tc>
        <w:tc>
          <w:tcPr>
            <w:tcW w:w="2191" w:type="dxa"/>
            <w:gridSpan w:val="2"/>
            <w:shd w:val="clear" w:color="auto" w:fill="00B050"/>
            <w:vAlign w:val="center"/>
          </w:tcPr>
          <w:p w14:paraId="415DE818" w14:textId="77777777" w:rsidR="004F7593" w:rsidRPr="006C577F" w:rsidRDefault="00B544FE" w:rsidP="003160D7">
            <w:pPr>
              <w:jc w:val="center"/>
              <w:rPr>
                <w:b/>
              </w:rPr>
            </w:pPr>
            <w:r>
              <w:rPr>
                <w:b/>
              </w:rPr>
              <w:t>1873</w:t>
            </w:r>
          </w:p>
        </w:tc>
      </w:tr>
      <w:tr w:rsidR="00D34955" w14:paraId="3702C541" w14:textId="77777777" w:rsidTr="00640CA1">
        <w:tc>
          <w:tcPr>
            <w:tcW w:w="10446" w:type="dxa"/>
            <w:gridSpan w:val="9"/>
          </w:tcPr>
          <w:p w14:paraId="1DE00A95" w14:textId="77777777" w:rsidR="004F7593" w:rsidRDefault="00B544FE" w:rsidP="00F8744C">
            <w:pPr>
              <w:jc w:val="center"/>
              <w:rPr>
                <w:noProof/>
                <w:lang w:eastAsia="en-GB"/>
              </w:rPr>
            </w:pPr>
            <w:r>
              <w:rPr>
                <w:noProof/>
              </w:rPr>
              <w:drawing>
                <wp:inline distT="0" distB="0" distL="0" distR="0" wp14:anchorId="74BEBB9C" wp14:editId="54304F33">
                  <wp:extent cx="5772150" cy="2660400"/>
                  <wp:effectExtent l="0" t="0" r="0" b="6985"/>
                  <wp:docPr id="1716215457" name="Chart 1">
                    <a:extLst xmlns:a="http://schemas.openxmlformats.org/drawingml/2006/main">
                      <a:ext uri="{FF2B5EF4-FFF2-40B4-BE49-F238E27FC236}">
                        <a16:creationId xmlns:a16="http://schemas.microsoft.com/office/drawing/2014/main" id="{00000000-0008-0000-06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r w:rsidR="00D34955" w14:paraId="0346C83B" w14:textId="77777777" w:rsidTr="003160D7">
        <w:tc>
          <w:tcPr>
            <w:tcW w:w="10446" w:type="dxa"/>
            <w:gridSpan w:val="9"/>
            <w:shd w:val="clear" w:color="auto" w:fill="5B9BD5" w:themeFill="accent1"/>
          </w:tcPr>
          <w:p w14:paraId="00562143" w14:textId="77777777" w:rsidR="004F7593" w:rsidRPr="005359B6" w:rsidRDefault="00B544FE" w:rsidP="003160D7">
            <w:pPr>
              <w:rPr>
                <w:b/>
                <w:color w:val="FFFFFF" w:themeColor="background1"/>
              </w:rPr>
            </w:pPr>
            <w:r w:rsidRPr="005359B6">
              <w:rPr>
                <w:b/>
                <w:color w:val="FFFFFF" w:themeColor="background1"/>
              </w:rPr>
              <w:t>Cumulative Performance</w:t>
            </w:r>
          </w:p>
        </w:tc>
      </w:tr>
      <w:tr w:rsidR="00D34955" w14:paraId="3274A0C7" w14:textId="77777777" w:rsidTr="00640CA1">
        <w:tc>
          <w:tcPr>
            <w:tcW w:w="10446" w:type="dxa"/>
            <w:gridSpan w:val="9"/>
          </w:tcPr>
          <w:p w14:paraId="4D7C3E73" w14:textId="77777777" w:rsidR="004F7593" w:rsidRDefault="00B544FE" w:rsidP="001478EF">
            <w:pPr>
              <w:jc w:val="center"/>
              <w:rPr>
                <w:noProof/>
                <w:lang w:eastAsia="en-GB"/>
              </w:rPr>
            </w:pPr>
            <w:r>
              <w:rPr>
                <w:noProof/>
              </w:rPr>
              <w:drawing>
                <wp:inline distT="0" distB="0" distL="0" distR="0" wp14:anchorId="5C5B375C" wp14:editId="3267AA7A">
                  <wp:extent cx="5770800" cy="2660400"/>
                  <wp:effectExtent l="0" t="0" r="1905" b="6985"/>
                  <wp:docPr id="2125259945" name="Chart 1">
                    <a:extLst xmlns:a="http://schemas.openxmlformats.org/drawingml/2006/main">
                      <a:ext uri="{FF2B5EF4-FFF2-40B4-BE49-F238E27FC236}">
                        <a16:creationId xmlns:a16="http://schemas.microsoft.com/office/drawing/2014/main" id="{00000000-0008-0000-06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r w:rsidR="00D34955" w14:paraId="51A911E7" w14:textId="77777777" w:rsidTr="00AB1D40">
        <w:trPr>
          <w:trHeight w:val="567"/>
        </w:trPr>
        <w:tc>
          <w:tcPr>
            <w:tcW w:w="5211" w:type="dxa"/>
            <w:gridSpan w:val="5"/>
          </w:tcPr>
          <w:p w14:paraId="3F48B222" w14:textId="77777777" w:rsidR="004F7593" w:rsidRPr="00681F4B" w:rsidRDefault="00B544FE" w:rsidP="003160D7">
            <w:pPr>
              <w:rPr>
                <w:b/>
                <w:szCs w:val="24"/>
              </w:rPr>
            </w:pPr>
            <w:r w:rsidRPr="00681F4B">
              <w:rPr>
                <w:b/>
                <w:szCs w:val="24"/>
              </w:rPr>
              <w:t>TC04 Total number of secondary fires attended</w:t>
            </w:r>
          </w:p>
        </w:tc>
        <w:tc>
          <w:tcPr>
            <w:tcW w:w="5235" w:type="dxa"/>
            <w:gridSpan w:val="4"/>
            <w:shd w:val="clear" w:color="auto" w:fill="00B050"/>
          </w:tcPr>
          <w:p w14:paraId="62E692E6" w14:textId="77777777" w:rsidR="004F7593" w:rsidRDefault="004F7593" w:rsidP="003160D7"/>
          <w:p w14:paraId="429E6582" w14:textId="77777777" w:rsidR="004F7593" w:rsidRDefault="004F7593" w:rsidP="003160D7"/>
        </w:tc>
      </w:tr>
      <w:tr w:rsidR="00D34955" w14:paraId="46A805E1" w14:textId="77777777" w:rsidTr="001C5CFE">
        <w:trPr>
          <w:trHeight w:val="567"/>
        </w:trPr>
        <w:tc>
          <w:tcPr>
            <w:tcW w:w="5211" w:type="dxa"/>
            <w:gridSpan w:val="5"/>
          </w:tcPr>
          <w:p w14:paraId="5E20B76A" w14:textId="77777777" w:rsidR="004F7593" w:rsidRPr="00681F4B" w:rsidRDefault="00B544FE" w:rsidP="003160D7">
            <w:pPr>
              <w:rPr>
                <w:b/>
                <w:szCs w:val="24"/>
              </w:rPr>
            </w:pPr>
            <w:r w:rsidRPr="00681F4B">
              <w:rPr>
                <w:b/>
                <w:szCs w:val="24"/>
              </w:rPr>
              <w:t xml:space="preserve">AC13 Number of deliberate ASB </w:t>
            </w:r>
            <w:r w:rsidRPr="00681F4B">
              <w:rPr>
                <w:b/>
                <w:szCs w:val="24"/>
              </w:rPr>
              <w:t>fires attended</w:t>
            </w:r>
          </w:p>
        </w:tc>
        <w:tc>
          <w:tcPr>
            <w:tcW w:w="5235" w:type="dxa"/>
            <w:gridSpan w:val="4"/>
            <w:shd w:val="clear" w:color="auto" w:fill="00B050"/>
          </w:tcPr>
          <w:p w14:paraId="282937F3" w14:textId="77777777" w:rsidR="004F7593" w:rsidRDefault="004F7593" w:rsidP="003160D7"/>
          <w:p w14:paraId="505421F8" w14:textId="77777777" w:rsidR="004F7593" w:rsidRDefault="004F7593" w:rsidP="003160D7"/>
        </w:tc>
      </w:tr>
      <w:tr w:rsidR="00D34955" w14:paraId="23639618" w14:textId="77777777" w:rsidTr="003160D7">
        <w:tc>
          <w:tcPr>
            <w:tcW w:w="3036" w:type="dxa"/>
            <w:gridSpan w:val="3"/>
          </w:tcPr>
          <w:p w14:paraId="36F659F6" w14:textId="77777777" w:rsidR="004F7593" w:rsidRDefault="004F7593" w:rsidP="003160D7"/>
          <w:p w14:paraId="23E60850" w14:textId="77777777" w:rsidR="004F7593" w:rsidRPr="007A1AAD" w:rsidRDefault="00B544FE" w:rsidP="003160D7">
            <w:pPr>
              <w:rPr>
                <w:b/>
              </w:rPr>
            </w:pPr>
            <w:r w:rsidRPr="007A1AAD">
              <w:rPr>
                <w:b/>
              </w:rPr>
              <w:t>TC04</w:t>
            </w:r>
          </w:p>
        </w:tc>
        <w:tc>
          <w:tcPr>
            <w:tcW w:w="7410" w:type="dxa"/>
            <w:gridSpan w:val="6"/>
          </w:tcPr>
          <w:p w14:paraId="4AD9A5A6" w14:textId="4E3D44AE" w:rsidR="004F7593" w:rsidRDefault="00B544FE" w:rsidP="003160D7">
            <w:r>
              <w:t xml:space="preserve">There were </w:t>
            </w:r>
            <w:r w:rsidR="002A429E">
              <w:t>1</w:t>
            </w:r>
            <w:r w:rsidR="006D6D4F">
              <w:t>8</w:t>
            </w:r>
            <w:r w:rsidR="002A429E">
              <w:t>7</w:t>
            </w:r>
            <w:r w:rsidR="006D6D4F">
              <w:t>3</w:t>
            </w:r>
            <w:r>
              <w:t xml:space="preserve"> secondary fires during this reporting period.  This is </w:t>
            </w:r>
            <w:r w:rsidR="002A429E">
              <w:t>636</w:t>
            </w:r>
            <w:r>
              <w:t xml:space="preserve"> </w:t>
            </w:r>
            <w:r w:rsidR="00AC3DBB">
              <w:t>fewer</w:t>
            </w:r>
            <w:r>
              <w:t xml:space="preserve"> fires than in 202</w:t>
            </w:r>
            <w:r w:rsidR="006D6D4F">
              <w:t>3</w:t>
            </w:r>
            <w:r>
              <w:t>/2</w:t>
            </w:r>
            <w:r w:rsidR="006D6D4F">
              <w:t>4</w:t>
            </w:r>
            <w:r>
              <w:t xml:space="preserve"> (</w:t>
            </w:r>
            <w:r w:rsidR="002A429E">
              <w:t>2509</w:t>
            </w:r>
            <w:r>
              <w:t xml:space="preserve">).    </w:t>
            </w:r>
            <w:r w:rsidR="006D6D4F">
              <w:t xml:space="preserve">The number of secondary fires </w:t>
            </w:r>
            <w:r w:rsidR="002A429E">
              <w:t>decreased sharply between August (425) and September (215).  This could be due in part to September being extremely wet.  Overall</w:t>
            </w:r>
            <w:r>
              <w:t>,</w:t>
            </w:r>
            <w:r w:rsidR="002A429E">
              <w:t xml:space="preserve"> n</w:t>
            </w:r>
            <w:r w:rsidR="006D6D4F">
              <w:t>umber</w:t>
            </w:r>
            <w:r w:rsidR="002A429E">
              <w:t>s</w:t>
            </w:r>
            <w:r w:rsidR="006D6D4F">
              <w:t xml:space="preserve"> are exceptionally low</w:t>
            </w:r>
            <w:r w:rsidR="00C672B9">
              <w:t xml:space="preserve">, which is </w:t>
            </w:r>
            <w:r>
              <w:t>predominantly down to our proactive work in our communities</w:t>
            </w:r>
            <w:r w:rsidR="002A429E">
              <w:t>.</w:t>
            </w:r>
          </w:p>
          <w:p w14:paraId="1AB4C12D" w14:textId="77777777" w:rsidR="004F7593" w:rsidRDefault="004F7593" w:rsidP="003160D7"/>
        </w:tc>
      </w:tr>
      <w:tr w:rsidR="00D34955" w14:paraId="1FB7B197" w14:textId="77777777" w:rsidTr="003160D7">
        <w:tc>
          <w:tcPr>
            <w:tcW w:w="3036" w:type="dxa"/>
            <w:gridSpan w:val="3"/>
          </w:tcPr>
          <w:p w14:paraId="3E81D9C8" w14:textId="77777777" w:rsidR="004F7593" w:rsidRDefault="004F7593" w:rsidP="003160D7"/>
          <w:p w14:paraId="168C96F0" w14:textId="77777777" w:rsidR="004F7593" w:rsidRPr="007A1AAD" w:rsidRDefault="00B544FE" w:rsidP="003160D7">
            <w:pPr>
              <w:rPr>
                <w:b/>
              </w:rPr>
            </w:pPr>
            <w:r w:rsidRPr="007A1AAD">
              <w:rPr>
                <w:b/>
              </w:rPr>
              <w:t>AC13</w:t>
            </w:r>
          </w:p>
        </w:tc>
        <w:tc>
          <w:tcPr>
            <w:tcW w:w="7410" w:type="dxa"/>
            <w:gridSpan w:val="6"/>
          </w:tcPr>
          <w:p w14:paraId="2A874164" w14:textId="77777777" w:rsidR="004F7593" w:rsidRDefault="00B544FE" w:rsidP="003160D7">
            <w:r>
              <w:t xml:space="preserve">The count of anti-social behaviour fires attended </w:t>
            </w:r>
            <w:r w:rsidR="002A429E">
              <w:t>is</w:t>
            </w:r>
            <w:r w:rsidR="004310F3">
              <w:t xml:space="preserve"> </w:t>
            </w:r>
            <w:r w:rsidR="002A429E">
              <w:t>341</w:t>
            </w:r>
            <w:r>
              <w:t xml:space="preserve"> less this year (</w:t>
            </w:r>
            <w:r w:rsidR="002A429E">
              <w:t>1226</w:t>
            </w:r>
            <w:r>
              <w:t>) than in 202</w:t>
            </w:r>
            <w:r w:rsidR="006D6D4F">
              <w:t>3</w:t>
            </w:r>
            <w:r>
              <w:t>/2</w:t>
            </w:r>
            <w:r w:rsidR="006D6D4F">
              <w:t>4</w:t>
            </w:r>
            <w:r>
              <w:t xml:space="preserve"> (</w:t>
            </w:r>
            <w:r w:rsidR="002A429E">
              <w:t>1567</w:t>
            </w:r>
            <w:r>
              <w:t xml:space="preserve">) and </w:t>
            </w:r>
            <w:r w:rsidR="004310F3">
              <w:t>considerably less than</w:t>
            </w:r>
            <w:r>
              <w:t xml:space="preserve"> the cumulative target (</w:t>
            </w:r>
            <w:r w:rsidR="002A429E">
              <w:t>2067</w:t>
            </w:r>
            <w:r>
              <w:t>).</w:t>
            </w:r>
            <w:r w:rsidR="002A429E">
              <w:t xml:space="preserve">  There were 341 less incidents than at Q2 </w:t>
            </w:r>
            <w:r w:rsidR="00C672B9">
              <w:t>20</w:t>
            </w:r>
            <w:r w:rsidR="002A429E">
              <w:t>22/23 (</w:t>
            </w:r>
            <w:r w:rsidR="009120DE">
              <w:t>1567).</w:t>
            </w:r>
            <w:r>
              <w:t xml:space="preserve">  </w:t>
            </w:r>
          </w:p>
          <w:p w14:paraId="21E468C1" w14:textId="77777777" w:rsidR="004F7593" w:rsidRDefault="004F7593" w:rsidP="003160D7"/>
          <w:p w14:paraId="52937C45" w14:textId="77777777" w:rsidR="004F7593" w:rsidRDefault="00B544FE" w:rsidP="003160D7">
            <w:r>
              <w:t>The Arson Reduction Team continue to work with partner agencies on initiatives such as Beachsafe on the Sefton coast to discourage barbecues and fires being lit in the pinewoods and sand dunes.</w:t>
            </w:r>
          </w:p>
          <w:p w14:paraId="7F1339D4" w14:textId="77777777" w:rsidR="004F7593" w:rsidRDefault="004F7593" w:rsidP="003160D7"/>
          <w:p w14:paraId="1F9E8742" w14:textId="77777777" w:rsidR="002F70FE" w:rsidRDefault="002F70FE" w:rsidP="003160D7"/>
        </w:tc>
      </w:tr>
      <w:tr w:rsidR="00D34955" w14:paraId="4C0E4BDE" w14:textId="77777777" w:rsidTr="003160D7">
        <w:trPr>
          <w:trHeight w:val="206"/>
        </w:trPr>
        <w:tc>
          <w:tcPr>
            <w:tcW w:w="10446" w:type="dxa"/>
            <w:gridSpan w:val="9"/>
            <w:shd w:val="clear" w:color="auto" w:fill="5B9BD5" w:themeFill="accent1"/>
          </w:tcPr>
          <w:p w14:paraId="6524B3B0" w14:textId="77777777" w:rsidR="004F7593" w:rsidRPr="005F20DB" w:rsidRDefault="00B544FE" w:rsidP="003160D7">
            <w:pPr>
              <w:rPr>
                <w:b/>
                <w:color w:val="FFFFFF" w:themeColor="background1"/>
                <w:sz w:val="28"/>
                <w:szCs w:val="28"/>
              </w:rPr>
            </w:pPr>
            <w:r w:rsidRPr="00681F4B">
              <w:rPr>
                <w:b/>
                <w:color w:val="FFFFFF" w:themeColor="background1"/>
                <w:sz w:val="28"/>
                <w:szCs w:val="28"/>
              </w:rPr>
              <w:t>TC</w:t>
            </w:r>
            <w:proofErr w:type="gramStart"/>
            <w:r w:rsidRPr="00681F4B">
              <w:rPr>
                <w:b/>
                <w:color w:val="FFFFFF" w:themeColor="background1"/>
                <w:sz w:val="28"/>
                <w:szCs w:val="28"/>
              </w:rPr>
              <w:t>05  Total</w:t>
            </w:r>
            <w:proofErr w:type="gramEnd"/>
            <w:r w:rsidRPr="00681F4B">
              <w:rPr>
                <w:b/>
                <w:color w:val="FFFFFF" w:themeColor="background1"/>
                <w:sz w:val="28"/>
                <w:szCs w:val="28"/>
              </w:rPr>
              <w:t xml:space="preserve"> number of special services attended</w:t>
            </w:r>
          </w:p>
        </w:tc>
      </w:tr>
      <w:tr w:rsidR="00D34955" w14:paraId="2780BF64" w14:textId="77777777" w:rsidTr="003160D7">
        <w:trPr>
          <w:trHeight w:val="551"/>
        </w:trPr>
        <w:tc>
          <w:tcPr>
            <w:tcW w:w="2939" w:type="dxa"/>
            <w:gridSpan w:val="2"/>
            <w:shd w:val="clear" w:color="auto" w:fill="FFFF00"/>
            <w:vAlign w:val="center"/>
          </w:tcPr>
          <w:p w14:paraId="5B8150D3" w14:textId="77777777" w:rsidR="004F7593" w:rsidRDefault="00B544FE" w:rsidP="003160D7">
            <w:pPr>
              <w:jc w:val="center"/>
            </w:pPr>
            <w:r w:rsidRPr="00C63E5E">
              <w:t>Service Plan Target</w:t>
            </w:r>
          </w:p>
        </w:tc>
        <w:tc>
          <w:tcPr>
            <w:tcW w:w="2317" w:type="dxa"/>
            <w:gridSpan w:val="4"/>
            <w:shd w:val="clear" w:color="auto" w:fill="D9E2F3" w:themeFill="accent5" w:themeFillTint="33"/>
            <w:vAlign w:val="center"/>
          </w:tcPr>
          <w:p w14:paraId="0B068BF1" w14:textId="77777777" w:rsidR="004F7593" w:rsidRPr="004D4B15" w:rsidRDefault="00B544FE" w:rsidP="003160D7">
            <w:pPr>
              <w:jc w:val="center"/>
              <w:rPr>
                <w:b/>
              </w:rPr>
            </w:pPr>
            <w:r w:rsidRPr="004D4B15">
              <w:rPr>
                <w:b/>
              </w:rPr>
              <w:t>Quality Assurance</w:t>
            </w:r>
          </w:p>
        </w:tc>
        <w:tc>
          <w:tcPr>
            <w:tcW w:w="3097" w:type="dxa"/>
            <w:gridSpan w:val="2"/>
            <w:shd w:val="clear" w:color="auto" w:fill="FFFF00"/>
            <w:vAlign w:val="center"/>
          </w:tcPr>
          <w:p w14:paraId="15335580" w14:textId="77777777" w:rsidR="004F7593" w:rsidRDefault="00B544FE" w:rsidP="003160D7">
            <w:pPr>
              <w:jc w:val="center"/>
            </w:pPr>
            <w:r w:rsidRPr="00C63E5E">
              <w:t>Progress to Date</w:t>
            </w:r>
          </w:p>
        </w:tc>
        <w:tc>
          <w:tcPr>
            <w:tcW w:w="2093" w:type="dxa"/>
            <w:shd w:val="clear" w:color="auto" w:fill="D9E2F3" w:themeFill="accent5" w:themeFillTint="33"/>
            <w:vAlign w:val="center"/>
          </w:tcPr>
          <w:p w14:paraId="6D63C4C6" w14:textId="77777777" w:rsidR="004F7593" w:rsidRPr="006C577F" w:rsidRDefault="00B544FE" w:rsidP="003160D7">
            <w:pPr>
              <w:jc w:val="center"/>
              <w:rPr>
                <w:b/>
              </w:rPr>
            </w:pPr>
            <w:r>
              <w:rPr>
                <w:b/>
              </w:rPr>
              <w:t>2643</w:t>
            </w:r>
          </w:p>
        </w:tc>
      </w:tr>
      <w:tr w:rsidR="00D34955" w14:paraId="24AE9F18" w14:textId="77777777" w:rsidTr="00640CA1">
        <w:tc>
          <w:tcPr>
            <w:tcW w:w="10446" w:type="dxa"/>
            <w:gridSpan w:val="9"/>
          </w:tcPr>
          <w:p w14:paraId="113B22B1" w14:textId="77777777" w:rsidR="004F7593" w:rsidRDefault="00B544FE" w:rsidP="003160D7">
            <w:pPr>
              <w:jc w:val="center"/>
              <w:rPr>
                <w:noProof/>
                <w:lang w:eastAsia="en-GB"/>
              </w:rPr>
            </w:pPr>
            <w:r>
              <w:rPr>
                <w:noProof/>
              </w:rPr>
              <w:drawing>
                <wp:inline distT="0" distB="0" distL="0" distR="0" wp14:anchorId="4E03CCEE" wp14:editId="02D9B2A9">
                  <wp:extent cx="5772150" cy="2660400"/>
                  <wp:effectExtent l="0" t="0" r="0" b="6985"/>
                  <wp:docPr id="1609238236" name="Chart 1">
                    <a:extLst xmlns:a="http://schemas.openxmlformats.org/drawingml/2006/main">
                      <a:ext uri="{FF2B5EF4-FFF2-40B4-BE49-F238E27FC236}">
                        <a16:creationId xmlns:a16="http://schemas.microsoft.com/office/drawing/2014/main" id="{00000000-0008-0000-06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r w:rsidR="00D34955" w14:paraId="3601F49C" w14:textId="77777777" w:rsidTr="003160D7">
        <w:tc>
          <w:tcPr>
            <w:tcW w:w="10446" w:type="dxa"/>
            <w:gridSpan w:val="9"/>
            <w:shd w:val="clear" w:color="auto" w:fill="5B9BD5" w:themeFill="accent1"/>
          </w:tcPr>
          <w:p w14:paraId="5A1A176F" w14:textId="77777777" w:rsidR="004F7593" w:rsidRPr="005359B6" w:rsidRDefault="00B544FE" w:rsidP="003160D7">
            <w:pPr>
              <w:rPr>
                <w:b/>
                <w:color w:val="FFFFFF" w:themeColor="background1"/>
              </w:rPr>
            </w:pPr>
            <w:r w:rsidRPr="005359B6">
              <w:rPr>
                <w:b/>
                <w:color w:val="FFFFFF" w:themeColor="background1"/>
              </w:rPr>
              <w:t>Cumulative Performance</w:t>
            </w:r>
          </w:p>
        </w:tc>
      </w:tr>
      <w:tr w:rsidR="00D34955" w14:paraId="3D8F0DE2" w14:textId="77777777" w:rsidTr="00640CA1">
        <w:tc>
          <w:tcPr>
            <w:tcW w:w="10446" w:type="dxa"/>
            <w:gridSpan w:val="9"/>
          </w:tcPr>
          <w:p w14:paraId="0411E51C" w14:textId="77777777" w:rsidR="004F7593" w:rsidRDefault="00B544FE" w:rsidP="001478EF">
            <w:pPr>
              <w:jc w:val="center"/>
              <w:rPr>
                <w:noProof/>
                <w:lang w:eastAsia="en-GB"/>
              </w:rPr>
            </w:pPr>
            <w:r>
              <w:rPr>
                <w:noProof/>
              </w:rPr>
              <w:drawing>
                <wp:inline distT="0" distB="0" distL="0" distR="0" wp14:anchorId="74A7BBF5" wp14:editId="61E2998B">
                  <wp:extent cx="5770800" cy="2660400"/>
                  <wp:effectExtent l="0" t="0" r="1905" b="6985"/>
                  <wp:docPr id="1948182583" name="Chart 1">
                    <a:extLst xmlns:a="http://schemas.openxmlformats.org/drawingml/2006/main">
                      <a:ext uri="{FF2B5EF4-FFF2-40B4-BE49-F238E27FC236}">
                        <a16:creationId xmlns:a16="http://schemas.microsoft.com/office/drawing/2014/main" id="{00000000-0008-0000-06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r w:rsidR="00D34955" w14:paraId="2480280D" w14:textId="77777777" w:rsidTr="003160D7">
        <w:trPr>
          <w:trHeight w:val="567"/>
        </w:trPr>
        <w:tc>
          <w:tcPr>
            <w:tcW w:w="5256" w:type="dxa"/>
            <w:gridSpan w:val="6"/>
          </w:tcPr>
          <w:p w14:paraId="34145F1C" w14:textId="77777777" w:rsidR="004F7593" w:rsidRPr="00681F4B" w:rsidRDefault="00B544FE" w:rsidP="003160D7">
            <w:pPr>
              <w:rPr>
                <w:b/>
              </w:rPr>
            </w:pPr>
            <w:r w:rsidRPr="00681F4B">
              <w:rPr>
                <w:b/>
              </w:rPr>
              <w:t>TC05 Total number of Special Services attended</w:t>
            </w:r>
          </w:p>
        </w:tc>
        <w:tc>
          <w:tcPr>
            <w:tcW w:w="5190" w:type="dxa"/>
            <w:gridSpan w:val="3"/>
            <w:shd w:val="clear" w:color="auto" w:fill="D9E2F3" w:themeFill="accent5" w:themeFillTint="33"/>
          </w:tcPr>
          <w:p w14:paraId="0C917E01" w14:textId="77777777" w:rsidR="004F7593" w:rsidRPr="00681F4B" w:rsidRDefault="00B544FE" w:rsidP="003160D7">
            <w:pPr>
              <w:jc w:val="center"/>
              <w:rPr>
                <w:b/>
              </w:rPr>
            </w:pPr>
            <w:r w:rsidRPr="00681F4B">
              <w:rPr>
                <w:b/>
              </w:rPr>
              <w:t xml:space="preserve">For </w:t>
            </w:r>
            <w:r w:rsidRPr="00681F4B">
              <w:rPr>
                <w:b/>
              </w:rPr>
              <w:t>quality assurance only</w:t>
            </w:r>
          </w:p>
          <w:p w14:paraId="449BB51E" w14:textId="77777777" w:rsidR="004F7593" w:rsidRDefault="004F7593" w:rsidP="003160D7"/>
        </w:tc>
      </w:tr>
      <w:tr w:rsidR="00D34955" w14:paraId="4ECFACC4" w14:textId="77777777" w:rsidTr="003160D7">
        <w:tc>
          <w:tcPr>
            <w:tcW w:w="3062" w:type="dxa"/>
            <w:gridSpan w:val="4"/>
          </w:tcPr>
          <w:p w14:paraId="638D40A1" w14:textId="77777777" w:rsidR="004F7593" w:rsidRPr="007A1AAD" w:rsidRDefault="004F7593" w:rsidP="003160D7">
            <w:pPr>
              <w:rPr>
                <w:b/>
              </w:rPr>
            </w:pPr>
          </w:p>
          <w:p w14:paraId="3CF54C63" w14:textId="77777777" w:rsidR="004F7593" w:rsidRDefault="00B544FE" w:rsidP="003160D7">
            <w:r w:rsidRPr="00FA59EE">
              <w:rPr>
                <w:b/>
              </w:rPr>
              <w:t>TC05</w:t>
            </w:r>
          </w:p>
        </w:tc>
        <w:tc>
          <w:tcPr>
            <w:tcW w:w="7384" w:type="dxa"/>
            <w:gridSpan w:val="5"/>
          </w:tcPr>
          <w:p w14:paraId="29803B06" w14:textId="77777777" w:rsidR="004F7593" w:rsidRDefault="00B544FE" w:rsidP="003160D7">
            <w:r w:rsidRPr="001C7075">
              <w:t xml:space="preserve">When personnel and equipment are </w:t>
            </w:r>
            <w:r>
              <w:t>de</w:t>
            </w:r>
            <w:r w:rsidRPr="001C7075">
              <w:t xml:space="preserve">ployed for services other than fire fighting, those services </w:t>
            </w:r>
            <w:r>
              <w:t>are</w:t>
            </w:r>
            <w:r w:rsidRPr="001C7075">
              <w:t xml:space="preserve"> referred to as a ‘Special Service Call’ (SSC) and may be either ’emergency’ or ‘non-emergency.’</w:t>
            </w:r>
            <w:r>
              <w:t xml:space="preserve">  </w:t>
            </w:r>
            <w:r w:rsidR="003201C1">
              <w:t>As explained above, m</w:t>
            </w:r>
            <w:r w:rsidRPr="00A30CD1">
              <w:t>any are</w:t>
            </w:r>
            <w:r>
              <w:t xml:space="preserve"> related to</w:t>
            </w:r>
            <w:r w:rsidRPr="00A30CD1">
              <w:t xml:space="preserve"> assisting partner agencies such as the Police and Ambulance</w:t>
            </w:r>
            <w:r>
              <w:t>, particularly related to providing medical assistance and effecting entry</w:t>
            </w:r>
            <w:r w:rsidRPr="00A30CD1">
              <w:t xml:space="preserve">. </w:t>
            </w:r>
            <w:r>
              <w:t xml:space="preserve"> They also include incident types like Road Traffic Collisions and Water Rescue.  </w:t>
            </w:r>
          </w:p>
          <w:p w14:paraId="37650C7A" w14:textId="77777777" w:rsidR="004F7593" w:rsidRDefault="004F7593" w:rsidP="003160D7"/>
          <w:p w14:paraId="3A9C801C" w14:textId="77777777" w:rsidR="004F7593" w:rsidRPr="00A30CD1" w:rsidRDefault="00B544FE" w:rsidP="003160D7">
            <w:r>
              <w:t xml:space="preserve">From April to </w:t>
            </w:r>
            <w:r w:rsidR="000072A9">
              <w:t>September</w:t>
            </w:r>
            <w:r>
              <w:t xml:space="preserve"> </w:t>
            </w:r>
            <w:r w:rsidR="00BD5E8A">
              <w:t>202</w:t>
            </w:r>
            <w:r w:rsidR="003B7BAB">
              <w:t>4</w:t>
            </w:r>
            <w:r>
              <w:t xml:space="preserve"> the number of special services attended (</w:t>
            </w:r>
            <w:r w:rsidR="000072A9">
              <w:t>2643</w:t>
            </w:r>
            <w:r>
              <w:t>) was</w:t>
            </w:r>
            <w:r w:rsidR="000072A9">
              <w:t xml:space="preserve"> slightly</w:t>
            </w:r>
            <w:r>
              <w:t xml:space="preserve"> higher than in</w:t>
            </w:r>
            <w:r w:rsidR="003B7BAB">
              <w:t xml:space="preserve"> 2023/24 (</w:t>
            </w:r>
            <w:r w:rsidR="000072A9">
              <w:t>2611</w:t>
            </w:r>
            <w:r w:rsidR="003B7BAB">
              <w:t>)</w:t>
            </w:r>
            <w:r>
              <w:t xml:space="preserve"> an increase of </w:t>
            </w:r>
            <w:r w:rsidR="000072A9">
              <w:t>32</w:t>
            </w:r>
            <w:r>
              <w:t xml:space="preserve"> incidents</w:t>
            </w:r>
            <w:r w:rsidR="003B7BAB">
              <w:t xml:space="preserve"> and </w:t>
            </w:r>
            <w:r w:rsidR="00CD4CEB">
              <w:t>15</w:t>
            </w:r>
            <w:r w:rsidR="003B7BAB">
              <w:t xml:space="preserve"> </w:t>
            </w:r>
            <w:r w:rsidR="00CD4CEB">
              <w:t>less</w:t>
            </w:r>
            <w:r w:rsidR="003B7BAB">
              <w:t xml:space="preserve"> incidents than in 2022/23 (</w:t>
            </w:r>
            <w:r w:rsidR="00CD4CEB">
              <w:t>2658</w:t>
            </w:r>
            <w:r w:rsidR="003B7BAB">
              <w:t>)</w:t>
            </w:r>
            <w:r w:rsidRPr="00D90A35">
              <w:t>.  Assisting other agencies</w:t>
            </w:r>
            <w:r w:rsidR="00CD4CEB">
              <w:t xml:space="preserve"> continues </w:t>
            </w:r>
            <w:proofErr w:type="gramStart"/>
            <w:r w:rsidR="00CD4CEB">
              <w:t xml:space="preserve">to </w:t>
            </w:r>
            <w:r w:rsidRPr="00D90A35">
              <w:t xml:space="preserve"> </w:t>
            </w:r>
            <w:r w:rsidR="000C549D">
              <w:t>account</w:t>
            </w:r>
            <w:proofErr w:type="gramEnd"/>
            <w:r w:rsidR="000C549D">
              <w:t xml:space="preserve"> </w:t>
            </w:r>
            <w:r w:rsidR="00C672B9">
              <w:t xml:space="preserve">for </w:t>
            </w:r>
            <w:r w:rsidR="00CD4CEB">
              <w:t>approximately a quarter</w:t>
            </w:r>
            <w:r w:rsidR="000C549D">
              <w:t xml:space="preserve"> of all calls. </w:t>
            </w:r>
          </w:p>
          <w:p w14:paraId="20EB7935" w14:textId="77777777" w:rsidR="004F7593" w:rsidRDefault="004F7593" w:rsidP="003160D7"/>
          <w:p w14:paraId="0495A13A" w14:textId="77777777" w:rsidR="004F7593" w:rsidRDefault="00B544FE" w:rsidP="00D75172">
            <w:r>
              <w:t>S</w:t>
            </w:r>
            <w:r w:rsidRPr="00DA132C">
              <w:t xml:space="preserve">pecial service calls attended </w:t>
            </w:r>
            <w:r>
              <w:t xml:space="preserve">are counted </w:t>
            </w:r>
            <w:r w:rsidRPr="00DA132C">
              <w:t>for quality assurance only</w:t>
            </w:r>
            <w:r>
              <w:t xml:space="preserve"> as </w:t>
            </w:r>
            <w:proofErr w:type="gramStart"/>
            <w:r>
              <w:t>a number of</w:t>
            </w:r>
            <w:proofErr w:type="gramEnd"/>
            <w:r>
              <w:t xml:space="preserve"> incident types (particularly those where MFRS is assisting other agencies) are encouraged, rather than MFRS being in a position to take action to prevent them as is the case with most other emergency response activity.</w:t>
            </w:r>
            <w:r w:rsidRPr="00DA132C">
              <w:t xml:space="preserve">  </w:t>
            </w:r>
          </w:p>
          <w:p w14:paraId="7B56DFAB" w14:textId="77777777" w:rsidR="00F313A4" w:rsidRPr="0021486A" w:rsidRDefault="00F313A4" w:rsidP="00D75172">
            <w:pPr>
              <w:rPr>
                <w:highlight w:val="yellow"/>
              </w:rPr>
            </w:pPr>
          </w:p>
        </w:tc>
      </w:tr>
      <w:tr w:rsidR="00D34955" w14:paraId="550E5F18" w14:textId="77777777" w:rsidTr="003160D7">
        <w:tc>
          <w:tcPr>
            <w:tcW w:w="3062" w:type="dxa"/>
            <w:gridSpan w:val="4"/>
          </w:tcPr>
          <w:p w14:paraId="1023A89B" w14:textId="77777777" w:rsidR="004F7593" w:rsidRDefault="00B544FE" w:rsidP="003160D7">
            <w:pPr>
              <w:rPr>
                <w:b/>
              </w:rPr>
            </w:pPr>
            <w:r w:rsidRPr="007A1AAD">
              <w:rPr>
                <w:b/>
              </w:rPr>
              <w:t>RC11</w:t>
            </w:r>
          </w:p>
          <w:p w14:paraId="43080E23" w14:textId="77777777" w:rsidR="004F7593" w:rsidRDefault="004F7593" w:rsidP="003160D7">
            <w:pPr>
              <w:rPr>
                <w:b/>
              </w:rPr>
            </w:pPr>
          </w:p>
          <w:p w14:paraId="271327AA" w14:textId="77777777" w:rsidR="004F7593" w:rsidRDefault="00B544FE" w:rsidP="003160D7">
            <w:pPr>
              <w:rPr>
                <w:b/>
              </w:rPr>
            </w:pPr>
            <w:r>
              <w:rPr>
                <w:b/>
              </w:rPr>
              <w:t>RC12</w:t>
            </w:r>
          </w:p>
          <w:p w14:paraId="24E55B28" w14:textId="77777777" w:rsidR="004F7593" w:rsidRDefault="00B544FE" w:rsidP="003160D7">
            <w:pPr>
              <w:rPr>
                <w:b/>
              </w:rPr>
            </w:pPr>
            <w:r>
              <w:rPr>
                <w:b/>
              </w:rPr>
              <w:t>RC13</w:t>
            </w:r>
          </w:p>
          <w:p w14:paraId="0DE6E26E" w14:textId="77777777" w:rsidR="004F7593" w:rsidRDefault="00B544FE" w:rsidP="003160D7">
            <w:pPr>
              <w:rPr>
                <w:b/>
              </w:rPr>
            </w:pPr>
            <w:r>
              <w:rPr>
                <w:b/>
              </w:rPr>
              <w:t>RC1</w:t>
            </w:r>
            <w:r w:rsidR="00F313A4">
              <w:rPr>
                <w:b/>
              </w:rPr>
              <w:t>6</w:t>
            </w:r>
          </w:p>
          <w:p w14:paraId="6D8941B7" w14:textId="77777777" w:rsidR="004F7593" w:rsidRDefault="004F7593" w:rsidP="003160D7">
            <w:pPr>
              <w:rPr>
                <w:b/>
              </w:rPr>
            </w:pPr>
          </w:p>
          <w:p w14:paraId="45AB0CAE" w14:textId="77777777" w:rsidR="004F7593" w:rsidRDefault="004F7593" w:rsidP="003160D7">
            <w:pPr>
              <w:rPr>
                <w:b/>
              </w:rPr>
            </w:pPr>
          </w:p>
          <w:p w14:paraId="4E124B26" w14:textId="77777777" w:rsidR="00CD4CEB" w:rsidRDefault="00CD4CEB" w:rsidP="003160D7">
            <w:pPr>
              <w:rPr>
                <w:b/>
              </w:rPr>
            </w:pPr>
          </w:p>
          <w:p w14:paraId="2ED9C5C6" w14:textId="77777777" w:rsidR="004F7593" w:rsidRDefault="00B544FE" w:rsidP="003160D7">
            <w:r>
              <w:rPr>
                <w:b/>
              </w:rPr>
              <w:t>RC24</w:t>
            </w:r>
          </w:p>
        </w:tc>
        <w:tc>
          <w:tcPr>
            <w:tcW w:w="7384" w:type="dxa"/>
            <w:gridSpan w:val="5"/>
          </w:tcPr>
          <w:p w14:paraId="73851604" w14:textId="77777777" w:rsidR="004F7593" w:rsidRDefault="00B544FE" w:rsidP="003160D7">
            <w:r w:rsidRPr="00D50A30">
              <w:t>The number of R</w:t>
            </w:r>
            <w:r>
              <w:t xml:space="preserve">oad </w:t>
            </w:r>
            <w:r w:rsidRPr="00D50A30">
              <w:t>T</w:t>
            </w:r>
            <w:r>
              <w:t xml:space="preserve">raffic </w:t>
            </w:r>
            <w:r w:rsidRPr="00D50A30">
              <w:t>C</w:t>
            </w:r>
            <w:r>
              <w:t>ollisions</w:t>
            </w:r>
            <w:r w:rsidRPr="00D50A30">
              <w:t xml:space="preserve"> attended</w:t>
            </w:r>
            <w:r>
              <w:t xml:space="preserve"> (</w:t>
            </w:r>
            <w:r w:rsidR="00CD4CEB">
              <w:t>352</w:t>
            </w:r>
            <w:r>
              <w:t xml:space="preserve">) is </w:t>
            </w:r>
            <w:r w:rsidR="003B7BAB">
              <w:t>low</w:t>
            </w:r>
            <w:r>
              <w:t>er than last year (</w:t>
            </w:r>
            <w:r w:rsidR="00CD4CEB">
              <w:t>403</w:t>
            </w:r>
            <w:r>
              <w:t>).</w:t>
            </w:r>
            <w:r w:rsidR="00F313A4">
              <w:t xml:space="preserve">  There is no target for this incident type.</w:t>
            </w:r>
            <w:r w:rsidR="003201C1">
              <w:t xml:space="preserve"> </w:t>
            </w:r>
          </w:p>
          <w:p w14:paraId="53AA9688" w14:textId="77777777" w:rsidR="00F313A4" w:rsidRDefault="00B544FE" w:rsidP="003160D7">
            <w:r>
              <w:t>Sadly, there ha</w:t>
            </w:r>
            <w:r w:rsidR="00CD4CEB">
              <w:t>ve</w:t>
            </w:r>
            <w:r>
              <w:t xml:space="preserve"> been </w:t>
            </w:r>
            <w:r w:rsidR="00CD4CEB">
              <w:t>2</w:t>
            </w:r>
            <w:r w:rsidR="0054252B">
              <w:t xml:space="preserve"> fatalit</w:t>
            </w:r>
            <w:r w:rsidR="00CD4CEB">
              <w:t>ies</w:t>
            </w:r>
            <w:r w:rsidR="0054252B">
              <w:t xml:space="preserve"> in </w:t>
            </w:r>
            <w:r>
              <w:t xml:space="preserve">an </w:t>
            </w:r>
            <w:r w:rsidR="0054252B">
              <w:t xml:space="preserve">RTC attended by MFRS and </w:t>
            </w:r>
            <w:r w:rsidR="00CD4CEB">
              <w:t>139</w:t>
            </w:r>
            <w:r w:rsidR="0054252B">
              <w:t xml:space="preserve"> injuries</w:t>
            </w:r>
            <w:r>
              <w:t xml:space="preserve"> (</w:t>
            </w:r>
            <w:r w:rsidR="00CD4CEB">
              <w:t>108</w:t>
            </w:r>
            <w:r>
              <w:t xml:space="preserve"> of which were slight injuries)</w:t>
            </w:r>
            <w:r w:rsidR="0054252B">
              <w:t xml:space="preserve">.  </w:t>
            </w:r>
          </w:p>
          <w:p w14:paraId="525DBBA4" w14:textId="1F80A540" w:rsidR="004F7593" w:rsidRDefault="00B544FE" w:rsidP="003160D7">
            <w:r>
              <w:t xml:space="preserve">MFRS has set a target based on Police “Killed and Seriously Injured” data. MFRS Prevention teams target the 15-20 </w:t>
            </w:r>
            <w:r w:rsidR="0068387C">
              <w:t xml:space="preserve">yr </w:t>
            </w:r>
            <w:r>
              <w:t xml:space="preserve">age group (early driver years) with the educational work they carry out to reduce RTCs. </w:t>
            </w:r>
            <w:r w:rsidR="00CD4CEB">
              <w:t>26</w:t>
            </w:r>
            <w:r w:rsidR="006D6D4F">
              <w:t xml:space="preserve"> incidents </w:t>
            </w:r>
            <w:r>
              <w:t xml:space="preserve">were </w:t>
            </w:r>
            <w:r w:rsidR="00CD4CEB">
              <w:t>recorded</w:t>
            </w:r>
            <w:r>
              <w:t>, which is</w:t>
            </w:r>
            <w:r w:rsidR="00CD4CEB">
              <w:t xml:space="preserve"> considerably</w:t>
            </w:r>
            <w:r w:rsidR="006D6D4F">
              <w:t xml:space="preserve"> lower </w:t>
            </w:r>
            <w:r>
              <w:t>than in</w:t>
            </w:r>
            <w:r w:rsidR="009A5ED1">
              <w:t xml:space="preserve"> 202</w:t>
            </w:r>
            <w:r w:rsidR="006D6D4F">
              <w:t>3</w:t>
            </w:r>
            <w:r w:rsidR="009A5ED1">
              <w:t>/2</w:t>
            </w:r>
            <w:r w:rsidR="006D6D4F">
              <w:t>4</w:t>
            </w:r>
            <w:r w:rsidR="009A5ED1">
              <w:t>(</w:t>
            </w:r>
            <w:r w:rsidR="00CD4CEB">
              <w:t>44</w:t>
            </w:r>
            <w:r w:rsidR="009A5ED1">
              <w:t>)</w:t>
            </w:r>
            <w:r>
              <w:t xml:space="preserve">. </w:t>
            </w:r>
          </w:p>
          <w:p w14:paraId="70F4736B" w14:textId="25503A27" w:rsidR="005402F9" w:rsidRDefault="00B544FE" w:rsidP="005402F9">
            <w:r>
              <w:t xml:space="preserve">Water rescues are also included in Special Service calls and this type of incident has </w:t>
            </w:r>
            <w:r w:rsidR="003201C1">
              <w:t xml:space="preserve">reduced </w:t>
            </w:r>
            <w:r>
              <w:t>to</w:t>
            </w:r>
            <w:r w:rsidR="00CD4CEB">
              <w:t xml:space="preserve"> 25</w:t>
            </w:r>
            <w:r>
              <w:t xml:space="preserve"> incidents during Q</w:t>
            </w:r>
            <w:r w:rsidR="00CD4CEB">
              <w:t>2</w:t>
            </w:r>
            <w:r>
              <w:t xml:space="preserve"> compared to </w:t>
            </w:r>
            <w:r w:rsidR="002A429E">
              <w:t>28</w:t>
            </w:r>
            <w:r>
              <w:t xml:space="preserve"> in 202</w:t>
            </w:r>
            <w:r w:rsidR="006D6D4F">
              <w:t>3</w:t>
            </w:r>
            <w:r>
              <w:t xml:space="preserve">.  </w:t>
            </w:r>
            <w:r w:rsidR="0068387C">
              <w:t>However,</w:t>
            </w:r>
            <w:r w:rsidR="002A429E">
              <w:t xml:space="preserve"> this still exceeds the cumulative target of </w:t>
            </w:r>
            <w:proofErr w:type="gramStart"/>
            <w:r w:rsidR="002A429E">
              <w:t>20</w:t>
            </w:r>
            <w:proofErr w:type="gramEnd"/>
          </w:p>
          <w:p w14:paraId="6CFCBED6" w14:textId="77777777" w:rsidR="005402F9" w:rsidRPr="00A30CD1" w:rsidRDefault="005402F9" w:rsidP="005402F9"/>
          <w:p w14:paraId="37321865" w14:textId="77777777" w:rsidR="004F7593" w:rsidRDefault="00B544FE" w:rsidP="003160D7">
            <w:r>
              <w:t xml:space="preserve">This incident type includes rescues from floods, rivers including the Mersey, park lakes and ponds. As with road traffic collisions, arson and antisocial behaviour, the community safety team </w:t>
            </w:r>
            <w:proofErr w:type="gramStart"/>
            <w:r>
              <w:t>takes action</w:t>
            </w:r>
            <w:proofErr w:type="gramEnd"/>
            <w:r>
              <w:t xml:space="preserve"> with partners to reduce these types of incidents.</w:t>
            </w:r>
          </w:p>
          <w:p w14:paraId="17DEAFE3" w14:textId="77777777" w:rsidR="004F7593" w:rsidRPr="00D50A30" w:rsidRDefault="004F7593" w:rsidP="003160D7"/>
        </w:tc>
      </w:tr>
    </w:tbl>
    <w:p w14:paraId="23630E70" w14:textId="77777777" w:rsidR="004F7593" w:rsidRDefault="004F7593"/>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914"/>
        <w:gridCol w:w="122"/>
        <w:gridCol w:w="2034"/>
        <w:gridCol w:w="3185"/>
        <w:gridCol w:w="2191"/>
      </w:tblGrid>
      <w:tr w:rsidR="00D34955" w14:paraId="31D440DA" w14:textId="77777777" w:rsidTr="003160D7">
        <w:tc>
          <w:tcPr>
            <w:tcW w:w="10446" w:type="dxa"/>
            <w:gridSpan w:val="5"/>
            <w:shd w:val="clear" w:color="auto" w:fill="5B9BD5" w:themeFill="accent1"/>
          </w:tcPr>
          <w:p w14:paraId="2A2D95B0" w14:textId="77777777" w:rsidR="004F7593" w:rsidRPr="005F20DB" w:rsidRDefault="00B544FE" w:rsidP="003160D7">
            <w:pPr>
              <w:rPr>
                <w:b/>
                <w:color w:val="FFFF00"/>
                <w:sz w:val="28"/>
                <w:szCs w:val="28"/>
              </w:rPr>
            </w:pPr>
            <w:r w:rsidRPr="00681F4B">
              <w:rPr>
                <w:b/>
                <w:color w:val="FFFFFF" w:themeColor="background1"/>
                <w:sz w:val="28"/>
                <w:szCs w:val="28"/>
              </w:rPr>
              <w:t>TC</w:t>
            </w:r>
            <w:proofErr w:type="gramStart"/>
            <w:r w:rsidRPr="00681F4B">
              <w:rPr>
                <w:b/>
                <w:color w:val="FFFFFF" w:themeColor="background1"/>
                <w:sz w:val="28"/>
                <w:szCs w:val="28"/>
              </w:rPr>
              <w:t>06  Total</w:t>
            </w:r>
            <w:proofErr w:type="gramEnd"/>
            <w:r w:rsidRPr="00681F4B">
              <w:rPr>
                <w:b/>
                <w:color w:val="FFFFFF" w:themeColor="background1"/>
                <w:sz w:val="28"/>
                <w:szCs w:val="28"/>
              </w:rPr>
              <w:t xml:space="preserve"> number of false alarms attended</w:t>
            </w:r>
          </w:p>
        </w:tc>
      </w:tr>
      <w:tr w:rsidR="00D34955" w14:paraId="76A8E03C" w14:textId="77777777" w:rsidTr="00A25B0A">
        <w:tc>
          <w:tcPr>
            <w:tcW w:w="2914" w:type="dxa"/>
            <w:shd w:val="clear" w:color="auto" w:fill="FFFF00"/>
            <w:vAlign w:val="center"/>
          </w:tcPr>
          <w:p w14:paraId="36C8C2B6" w14:textId="77777777" w:rsidR="004F7593" w:rsidRDefault="00B544FE" w:rsidP="003160D7">
            <w:pPr>
              <w:jc w:val="center"/>
            </w:pPr>
            <w:r w:rsidRPr="00C63E5E">
              <w:t>Service Plan Target</w:t>
            </w:r>
          </w:p>
          <w:p w14:paraId="4EE29FF3" w14:textId="11D3C2F6" w:rsidR="004F7593" w:rsidRDefault="00B544FE" w:rsidP="003160D7">
            <w:pPr>
              <w:jc w:val="center"/>
            </w:pPr>
            <w:r>
              <w:t>Apr-</w:t>
            </w:r>
            <w:r w:rsidR="001C1ABD">
              <w:t>Sept</w:t>
            </w:r>
            <w:r>
              <w:t xml:space="preserve"> </w:t>
            </w:r>
            <w:r w:rsidR="00BD5E8A">
              <w:t>202</w:t>
            </w:r>
            <w:r w:rsidR="004C5A01">
              <w:t>4</w:t>
            </w:r>
          </w:p>
        </w:tc>
        <w:tc>
          <w:tcPr>
            <w:tcW w:w="2156" w:type="dxa"/>
            <w:gridSpan w:val="2"/>
            <w:shd w:val="clear" w:color="auto" w:fill="D9E2F3" w:themeFill="accent5" w:themeFillTint="33"/>
            <w:vAlign w:val="center"/>
          </w:tcPr>
          <w:p w14:paraId="671F1354" w14:textId="77777777" w:rsidR="004F7593" w:rsidRPr="00117961" w:rsidRDefault="00B544FE" w:rsidP="003160D7">
            <w:pPr>
              <w:jc w:val="center"/>
              <w:rPr>
                <w:b/>
              </w:rPr>
            </w:pPr>
            <w:r>
              <w:rPr>
                <w:b/>
              </w:rPr>
              <w:t>3515</w:t>
            </w:r>
          </w:p>
        </w:tc>
        <w:tc>
          <w:tcPr>
            <w:tcW w:w="3185" w:type="dxa"/>
            <w:shd w:val="clear" w:color="auto" w:fill="FFFF00"/>
            <w:vAlign w:val="center"/>
          </w:tcPr>
          <w:p w14:paraId="2E35667E" w14:textId="77777777" w:rsidR="004F7593" w:rsidRDefault="00B544FE" w:rsidP="003160D7">
            <w:pPr>
              <w:jc w:val="center"/>
            </w:pPr>
            <w:r w:rsidRPr="00C63E5E">
              <w:t>Progress to Date</w:t>
            </w:r>
          </w:p>
        </w:tc>
        <w:tc>
          <w:tcPr>
            <w:tcW w:w="2191" w:type="dxa"/>
            <w:shd w:val="clear" w:color="auto" w:fill="FFC000"/>
            <w:vAlign w:val="center"/>
          </w:tcPr>
          <w:p w14:paraId="51A9B59B" w14:textId="77777777" w:rsidR="004F7593" w:rsidRPr="006C577F" w:rsidRDefault="00B544FE" w:rsidP="003160D7">
            <w:pPr>
              <w:jc w:val="center"/>
              <w:rPr>
                <w:b/>
              </w:rPr>
            </w:pPr>
            <w:r>
              <w:rPr>
                <w:b/>
              </w:rPr>
              <w:t>3524</w:t>
            </w:r>
          </w:p>
        </w:tc>
      </w:tr>
      <w:tr w:rsidR="00D34955" w14:paraId="2BD02DAE" w14:textId="77777777" w:rsidTr="00640CA1">
        <w:tc>
          <w:tcPr>
            <w:tcW w:w="10446" w:type="dxa"/>
            <w:gridSpan w:val="5"/>
          </w:tcPr>
          <w:p w14:paraId="47AF5156" w14:textId="77777777" w:rsidR="004F7593" w:rsidRDefault="00B544FE" w:rsidP="001A63FE">
            <w:pPr>
              <w:jc w:val="center"/>
              <w:rPr>
                <w:noProof/>
                <w:lang w:eastAsia="en-GB"/>
              </w:rPr>
            </w:pPr>
            <w:r>
              <w:rPr>
                <w:noProof/>
              </w:rPr>
              <w:drawing>
                <wp:inline distT="0" distB="0" distL="0" distR="0" wp14:anchorId="4D295DDC" wp14:editId="47029E22">
                  <wp:extent cx="5772150" cy="2660400"/>
                  <wp:effectExtent l="0" t="0" r="0" b="6985"/>
                  <wp:docPr id="1072414862" name="Chart 1">
                    <a:extLst xmlns:a="http://schemas.openxmlformats.org/drawingml/2006/main">
                      <a:ext uri="{FF2B5EF4-FFF2-40B4-BE49-F238E27FC236}">
                        <a16:creationId xmlns:a16="http://schemas.microsoft.com/office/drawing/2014/main" id="{00000000-0008-0000-06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r w:rsidR="00D34955" w14:paraId="3CB34BD9" w14:textId="77777777" w:rsidTr="00A25B0A">
        <w:tc>
          <w:tcPr>
            <w:tcW w:w="5070" w:type="dxa"/>
            <w:gridSpan w:val="3"/>
          </w:tcPr>
          <w:p w14:paraId="6C753317" w14:textId="77777777" w:rsidR="004F7593" w:rsidRPr="007A1AAD" w:rsidRDefault="00B544FE" w:rsidP="003160D7">
            <w:pPr>
              <w:rPr>
                <w:b/>
              </w:rPr>
            </w:pPr>
            <w:r w:rsidRPr="007A1AAD">
              <w:rPr>
                <w:b/>
              </w:rPr>
              <w:t xml:space="preserve">TC06 Total number of false alarms </w:t>
            </w:r>
            <w:proofErr w:type="gramStart"/>
            <w:r w:rsidRPr="007A1AAD">
              <w:rPr>
                <w:b/>
              </w:rPr>
              <w:t>attended</w:t>
            </w:r>
            <w:proofErr w:type="gramEnd"/>
          </w:p>
          <w:p w14:paraId="6735F31D" w14:textId="77777777" w:rsidR="004F7593" w:rsidRDefault="004F7593" w:rsidP="003160D7"/>
        </w:tc>
        <w:tc>
          <w:tcPr>
            <w:tcW w:w="5376" w:type="dxa"/>
            <w:gridSpan w:val="2"/>
            <w:shd w:val="clear" w:color="auto" w:fill="FFC000"/>
          </w:tcPr>
          <w:p w14:paraId="1BBC7FD2" w14:textId="77777777" w:rsidR="004F7593" w:rsidRDefault="004F7593" w:rsidP="003160D7"/>
          <w:p w14:paraId="29805E6D" w14:textId="77777777" w:rsidR="004F7593" w:rsidRDefault="004F7593" w:rsidP="003160D7"/>
        </w:tc>
      </w:tr>
      <w:tr w:rsidR="00D34955" w14:paraId="1AD50F8B" w14:textId="77777777" w:rsidTr="003160D7">
        <w:tc>
          <w:tcPr>
            <w:tcW w:w="3036" w:type="dxa"/>
            <w:gridSpan w:val="2"/>
          </w:tcPr>
          <w:p w14:paraId="45718BEA" w14:textId="77777777" w:rsidR="004F7593" w:rsidRDefault="00B544FE" w:rsidP="003160D7">
            <w:pPr>
              <w:rPr>
                <w:b/>
              </w:rPr>
            </w:pPr>
            <w:r w:rsidRPr="007A1AAD">
              <w:rPr>
                <w:b/>
              </w:rPr>
              <w:t>TC06</w:t>
            </w:r>
          </w:p>
          <w:p w14:paraId="30115FCF" w14:textId="77777777" w:rsidR="004F7593" w:rsidRDefault="004F7593" w:rsidP="003160D7">
            <w:pPr>
              <w:rPr>
                <w:b/>
              </w:rPr>
            </w:pPr>
          </w:p>
          <w:p w14:paraId="25954CD6" w14:textId="77777777" w:rsidR="004F7593" w:rsidRDefault="004F7593" w:rsidP="003160D7">
            <w:pPr>
              <w:rPr>
                <w:b/>
              </w:rPr>
            </w:pPr>
          </w:p>
          <w:p w14:paraId="6BB16FE7" w14:textId="77777777" w:rsidR="004F7593" w:rsidRDefault="004F7593" w:rsidP="003160D7">
            <w:pPr>
              <w:rPr>
                <w:b/>
              </w:rPr>
            </w:pPr>
          </w:p>
          <w:p w14:paraId="111ED9AC" w14:textId="77777777" w:rsidR="004F7593" w:rsidRDefault="00B544FE" w:rsidP="003160D7">
            <w:pPr>
              <w:rPr>
                <w:b/>
              </w:rPr>
            </w:pPr>
            <w:r>
              <w:rPr>
                <w:b/>
              </w:rPr>
              <w:t>FC2</w:t>
            </w:r>
            <w:r w:rsidR="00C86D27">
              <w:rPr>
                <w:b/>
              </w:rPr>
              <w:t>4</w:t>
            </w:r>
          </w:p>
          <w:p w14:paraId="67914C8F" w14:textId="77777777" w:rsidR="004F7593" w:rsidRDefault="004F7593" w:rsidP="003160D7">
            <w:pPr>
              <w:rPr>
                <w:b/>
              </w:rPr>
            </w:pPr>
          </w:p>
          <w:p w14:paraId="4C33092D" w14:textId="77777777" w:rsidR="004F7593" w:rsidRDefault="004F7593" w:rsidP="003160D7">
            <w:pPr>
              <w:rPr>
                <w:b/>
              </w:rPr>
            </w:pPr>
          </w:p>
          <w:p w14:paraId="5CF3ED85" w14:textId="77777777" w:rsidR="004F7593" w:rsidRDefault="004F7593" w:rsidP="003160D7">
            <w:pPr>
              <w:rPr>
                <w:b/>
              </w:rPr>
            </w:pPr>
          </w:p>
          <w:p w14:paraId="14EBEFEB" w14:textId="77777777" w:rsidR="00C86D27" w:rsidRDefault="00C86D27" w:rsidP="003160D7">
            <w:pPr>
              <w:rPr>
                <w:b/>
              </w:rPr>
            </w:pPr>
          </w:p>
          <w:p w14:paraId="3A5FD3BA" w14:textId="77777777" w:rsidR="004F7593" w:rsidRPr="007A1AAD" w:rsidRDefault="00B544FE" w:rsidP="003160D7">
            <w:pPr>
              <w:rPr>
                <w:b/>
              </w:rPr>
            </w:pPr>
            <w:r>
              <w:rPr>
                <w:b/>
              </w:rPr>
              <w:t>FC</w:t>
            </w:r>
            <w:r w:rsidR="00C86D27">
              <w:rPr>
                <w:b/>
              </w:rPr>
              <w:t>22</w:t>
            </w:r>
          </w:p>
        </w:tc>
        <w:tc>
          <w:tcPr>
            <w:tcW w:w="7410" w:type="dxa"/>
            <w:gridSpan w:val="3"/>
          </w:tcPr>
          <w:p w14:paraId="094A59BF" w14:textId="77777777" w:rsidR="004F7593" w:rsidRDefault="00B544FE" w:rsidP="003160D7">
            <w:r>
              <w:t xml:space="preserve">The number of false </w:t>
            </w:r>
            <w:r>
              <w:t>alarms attended (</w:t>
            </w:r>
            <w:r w:rsidR="00397BD1">
              <w:t>3524</w:t>
            </w:r>
            <w:r>
              <w:t>) has increased when compared to last year (</w:t>
            </w:r>
            <w:r w:rsidR="00397BD1">
              <w:t>3444</w:t>
            </w:r>
            <w:r>
              <w:t>) but remains within 10% of the cumulative target for Q</w:t>
            </w:r>
            <w:r w:rsidR="00397BD1">
              <w:t>2</w:t>
            </w:r>
            <w:r>
              <w:t xml:space="preserve"> </w:t>
            </w:r>
            <w:r w:rsidR="00BD5E8A">
              <w:t>202</w:t>
            </w:r>
            <w:r w:rsidR="003B7BAB">
              <w:t>4</w:t>
            </w:r>
            <w:r>
              <w:t>/2</w:t>
            </w:r>
            <w:r w:rsidR="003B7BAB">
              <w:t>5</w:t>
            </w:r>
            <w:r>
              <w:t xml:space="preserve"> (</w:t>
            </w:r>
            <w:r w:rsidR="000072A9">
              <w:t>3515</w:t>
            </w:r>
            <w:r>
              <w:t xml:space="preserve">).  </w:t>
            </w:r>
            <w:r w:rsidR="008E18C3">
              <w:t xml:space="preserve">Faults on systems remain one of the main reasons for calls. </w:t>
            </w:r>
          </w:p>
          <w:p w14:paraId="04619955" w14:textId="77777777" w:rsidR="004F7593" w:rsidRDefault="004F7593" w:rsidP="003160D7"/>
          <w:p w14:paraId="2F43F40C" w14:textId="77777777" w:rsidR="004F7593" w:rsidRDefault="00B544FE" w:rsidP="003361CD">
            <w:r>
              <w:t>The total number of False Alarm Good Intent incidents attended</w:t>
            </w:r>
            <w:r w:rsidR="003201C1">
              <w:t>,</w:t>
            </w:r>
            <w:r w:rsidR="00C86D27">
              <w:t xml:space="preserve"> including </w:t>
            </w:r>
            <w:r>
              <w:t>non-Alarm</w:t>
            </w:r>
            <w:r w:rsidR="00C86D27">
              <w:t xml:space="preserve"> Receiving Centre domestic </w:t>
            </w:r>
            <w:r w:rsidR="003201C1">
              <w:t xml:space="preserve">calls </w:t>
            </w:r>
            <w:r>
              <w:t xml:space="preserve">received, </w:t>
            </w:r>
            <w:r w:rsidR="000072A9">
              <w:t>at Q2</w:t>
            </w:r>
            <w:r>
              <w:t xml:space="preserve"> </w:t>
            </w:r>
            <w:r w:rsidR="00BD5E8A">
              <w:t>202</w:t>
            </w:r>
            <w:r w:rsidR="003B7BAB">
              <w:t>4</w:t>
            </w:r>
            <w:r>
              <w:t xml:space="preserve"> w</w:t>
            </w:r>
            <w:r w:rsidR="003201C1">
              <w:t>as</w:t>
            </w:r>
            <w:r>
              <w:t xml:space="preserve"> </w:t>
            </w:r>
            <w:r w:rsidR="000072A9">
              <w:t>1949</w:t>
            </w:r>
            <w:r>
              <w:t xml:space="preserve">.  This is </w:t>
            </w:r>
            <w:r w:rsidR="000072A9">
              <w:t>116</w:t>
            </w:r>
            <w:r>
              <w:t xml:space="preserve"> </w:t>
            </w:r>
            <w:r w:rsidR="00C86D27">
              <w:t>more</w:t>
            </w:r>
            <w:r>
              <w:t xml:space="preserve"> than at this time in 2023 (</w:t>
            </w:r>
            <w:r w:rsidR="000072A9">
              <w:t>1833</w:t>
            </w:r>
            <w:r>
              <w:t>) the</w:t>
            </w:r>
            <w:r w:rsidR="00C86D27">
              <w:t>re is no</w:t>
            </w:r>
            <w:r>
              <w:t xml:space="preserve"> target </w:t>
            </w:r>
            <w:r w:rsidR="00C86D27">
              <w:t>for this indicator as we do not want to discourage calls</w:t>
            </w:r>
            <w:r>
              <w:t>.</w:t>
            </w:r>
          </w:p>
          <w:p w14:paraId="5CF6439A" w14:textId="77777777" w:rsidR="004F7593" w:rsidRDefault="004F7593" w:rsidP="003361CD"/>
          <w:p w14:paraId="6E8C6394" w14:textId="03EB1437" w:rsidR="00C86D27" w:rsidRDefault="00B544FE" w:rsidP="00325D5D">
            <w:r>
              <w:t xml:space="preserve">Malicious </w:t>
            </w:r>
            <w:r w:rsidR="0054252B">
              <w:t>False Alarm</w:t>
            </w:r>
            <w:r w:rsidR="003B7BAB">
              <w:t xml:space="preserve"> calls</w:t>
            </w:r>
            <w:r>
              <w:t xml:space="preserve"> received </w:t>
            </w:r>
            <w:r w:rsidR="000072A9">
              <w:t xml:space="preserve">have increased slightly (68) when compared to last year (59).  </w:t>
            </w:r>
            <w:r w:rsidR="00D52B3A">
              <w:t>However,</w:t>
            </w:r>
            <w:r w:rsidR="000072A9">
              <w:t xml:space="preserve"> if compared with 2018/19 when there were 90 incidents there are far fewer calls.</w:t>
            </w:r>
          </w:p>
        </w:tc>
      </w:tr>
    </w:tbl>
    <w:p w14:paraId="7AC1F4D3" w14:textId="77777777" w:rsidR="004F7593" w:rsidRDefault="004F7593"/>
    <w:tbl>
      <w:tblPr>
        <w:tblStyle w:val="TableGrid"/>
        <w:tblpPr w:leftFromText="180" w:rightFromText="180" w:vertAnchor="text" w:horzAnchor="margin" w:tblpY="1"/>
        <w:tblOverlap w:val="never"/>
        <w:tblW w:w="10338"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ayout w:type="fixed"/>
        <w:tblLook w:val="04A0" w:firstRow="1" w:lastRow="0" w:firstColumn="1" w:lastColumn="0" w:noHBand="0" w:noVBand="1"/>
      </w:tblPr>
      <w:tblGrid>
        <w:gridCol w:w="2825"/>
        <w:gridCol w:w="1843"/>
        <w:gridCol w:w="2268"/>
        <w:gridCol w:w="3402"/>
      </w:tblGrid>
      <w:tr w:rsidR="00D34955" w14:paraId="38A58458" w14:textId="77777777" w:rsidTr="003160D7">
        <w:tc>
          <w:tcPr>
            <w:tcW w:w="10338" w:type="dxa"/>
            <w:gridSpan w:val="4"/>
            <w:shd w:val="clear" w:color="auto" w:fill="5B9BD5" w:themeFill="accent1"/>
          </w:tcPr>
          <w:p w14:paraId="7DDA3EBB" w14:textId="77777777" w:rsidR="004F7593" w:rsidRPr="005F20DB" w:rsidRDefault="00B544FE" w:rsidP="003160D7">
            <w:pPr>
              <w:rPr>
                <w:b/>
                <w:color w:val="FFFFFF" w:themeColor="background1"/>
                <w:sz w:val="28"/>
                <w:szCs w:val="28"/>
              </w:rPr>
            </w:pPr>
            <w:r w:rsidRPr="00681F4B">
              <w:rPr>
                <w:b/>
                <w:color w:val="FFFFFF" w:themeColor="background1"/>
                <w:sz w:val="28"/>
                <w:szCs w:val="28"/>
              </w:rPr>
              <w:t>TR</w:t>
            </w:r>
            <w:proofErr w:type="gramStart"/>
            <w:r w:rsidRPr="00681F4B">
              <w:rPr>
                <w:b/>
                <w:color w:val="FFFFFF" w:themeColor="background1"/>
                <w:sz w:val="28"/>
                <w:szCs w:val="28"/>
              </w:rPr>
              <w:t>08  Attendance</w:t>
            </w:r>
            <w:proofErr w:type="gramEnd"/>
            <w:r w:rsidRPr="00681F4B">
              <w:rPr>
                <w:b/>
                <w:color w:val="FFFFFF" w:themeColor="background1"/>
                <w:sz w:val="28"/>
                <w:szCs w:val="28"/>
              </w:rPr>
              <w:t xml:space="preserve"> standard – the first attendance of an appliance at all life risk incidents in 10 minutes</w:t>
            </w:r>
          </w:p>
        </w:tc>
      </w:tr>
      <w:tr w:rsidR="00D34955" w14:paraId="1E47DB67" w14:textId="77777777" w:rsidTr="003160D7">
        <w:trPr>
          <w:trHeight w:val="567"/>
        </w:trPr>
        <w:tc>
          <w:tcPr>
            <w:tcW w:w="2825" w:type="dxa"/>
            <w:shd w:val="clear" w:color="auto" w:fill="FFFF00"/>
            <w:vAlign w:val="center"/>
          </w:tcPr>
          <w:p w14:paraId="40D2F9E9" w14:textId="77777777" w:rsidR="004F7593" w:rsidRDefault="00B544FE" w:rsidP="003160D7">
            <w:pPr>
              <w:jc w:val="center"/>
            </w:pPr>
            <w:r w:rsidRPr="00C63E5E">
              <w:t>Service Plan Target</w:t>
            </w:r>
          </w:p>
          <w:p w14:paraId="78CA4698" w14:textId="6C7321F9" w:rsidR="004F7593" w:rsidRDefault="00B544FE" w:rsidP="003160D7">
            <w:pPr>
              <w:jc w:val="center"/>
            </w:pPr>
            <w:r>
              <w:t>Apr-</w:t>
            </w:r>
            <w:r w:rsidR="001C1ABD">
              <w:t>Sept</w:t>
            </w:r>
            <w:r>
              <w:t xml:space="preserve"> </w:t>
            </w:r>
            <w:r w:rsidR="00BD5E8A">
              <w:t>202</w:t>
            </w:r>
            <w:r w:rsidR="004C5A01">
              <w:t>4</w:t>
            </w:r>
          </w:p>
        </w:tc>
        <w:tc>
          <w:tcPr>
            <w:tcW w:w="1843" w:type="dxa"/>
            <w:shd w:val="clear" w:color="auto" w:fill="D9E2F3" w:themeFill="accent5" w:themeFillTint="33"/>
            <w:vAlign w:val="center"/>
          </w:tcPr>
          <w:p w14:paraId="03032517" w14:textId="77777777" w:rsidR="004F7593" w:rsidRPr="00117961" w:rsidRDefault="00B544FE" w:rsidP="003160D7">
            <w:pPr>
              <w:jc w:val="center"/>
              <w:rPr>
                <w:b/>
              </w:rPr>
            </w:pPr>
            <w:r w:rsidRPr="00117961">
              <w:rPr>
                <w:b/>
              </w:rPr>
              <w:t>90%</w:t>
            </w:r>
          </w:p>
        </w:tc>
        <w:tc>
          <w:tcPr>
            <w:tcW w:w="2268" w:type="dxa"/>
            <w:shd w:val="clear" w:color="auto" w:fill="FFFF00"/>
            <w:vAlign w:val="center"/>
          </w:tcPr>
          <w:p w14:paraId="2AB29E2D" w14:textId="77777777" w:rsidR="004F7593" w:rsidRDefault="00B544FE" w:rsidP="003160D7">
            <w:pPr>
              <w:jc w:val="center"/>
            </w:pPr>
            <w:r w:rsidRPr="00C63E5E">
              <w:t>Progress to Date</w:t>
            </w:r>
          </w:p>
        </w:tc>
        <w:tc>
          <w:tcPr>
            <w:tcW w:w="3402" w:type="dxa"/>
            <w:shd w:val="clear" w:color="auto" w:fill="00B050"/>
            <w:vAlign w:val="center"/>
          </w:tcPr>
          <w:p w14:paraId="216AEE62" w14:textId="77777777" w:rsidR="004F7593" w:rsidRPr="00681F4B" w:rsidRDefault="00B544FE" w:rsidP="003160D7">
            <w:pPr>
              <w:jc w:val="center"/>
              <w:rPr>
                <w:b/>
                <w:color w:val="FFFFFF" w:themeColor="background1"/>
              </w:rPr>
            </w:pPr>
            <w:r>
              <w:rPr>
                <w:b/>
                <w:color w:val="FFFFFF" w:themeColor="background1"/>
              </w:rPr>
              <w:t>9</w:t>
            </w:r>
            <w:r w:rsidR="004C5A01">
              <w:rPr>
                <w:b/>
                <w:color w:val="FFFFFF" w:themeColor="background1"/>
              </w:rPr>
              <w:t>6</w:t>
            </w:r>
            <w:r>
              <w:rPr>
                <w:b/>
                <w:color w:val="FFFFFF" w:themeColor="background1"/>
              </w:rPr>
              <w:t>.</w:t>
            </w:r>
            <w:r w:rsidR="00397BD1">
              <w:rPr>
                <w:b/>
                <w:color w:val="FFFFFF" w:themeColor="background1"/>
              </w:rPr>
              <w:t>4</w:t>
            </w:r>
            <w:r w:rsidRPr="003A7EC2">
              <w:rPr>
                <w:b/>
                <w:color w:val="FFFFFF" w:themeColor="background1"/>
              </w:rPr>
              <w:t>%</w:t>
            </w:r>
          </w:p>
        </w:tc>
      </w:tr>
      <w:tr w:rsidR="00D34955" w14:paraId="5BF49430" w14:textId="77777777" w:rsidTr="00640CA1">
        <w:tc>
          <w:tcPr>
            <w:tcW w:w="10338" w:type="dxa"/>
            <w:gridSpan w:val="4"/>
          </w:tcPr>
          <w:p w14:paraId="45B8C1EE" w14:textId="77777777" w:rsidR="004F7593" w:rsidRDefault="00B544FE" w:rsidP="001A63FE">
            <w:pPr>
              <w:jc w:val="center"/>
              <w:rPr>
                <w:noProof/>
                <w:lang w:eastAsia="en-GB"/>
              </w:rPr>
            </w:pPr>
            <w:r>
              <w:rPr>
                <w:noProof/>
              </w:rPr>
              <w:drawing>
                <wp:inline distT="0" distB="0" distL="0" distR="0" wp14:anchorId="4A7956B1" wp14:editId="2BFFA410">
                  <wp:extent cx="5772150" cy="2660400"/>
                  <wp:effectExtent l="0" t="0" r="0" b="6985"/>
                  <wp:docPr id="763011498" name="Chart 1">
                    <a:extLst xmlns:a="http://schemas.openxmlformats.org/drawingml/2006/main">
                      <a:ext uri="{FF2B5EF4-FFF2-40B4-BE49-F238E27FC236}">
                        <a16:creationId xmlns:a16="http://schemas.microsoft.com/office/drawing/2014/main" id="{00000000-0008-0000-06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bl>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3036"/>
        <w:gridCol w:w="2175"/>
        <w:gridCol w:w="5127"/>
      </w:tblGrid>
      <w:tr w:rsidR="00D34955" w14:paraId="56B818A9" w14:textId="77777777" w:rsidTr="003160D7">
        <w:tc>
          <w:tcPr>
            <w:tcW w:w="5211" w:type="dxa"/>
            <w:gridSpan w:val="2"/>
            <w:vMerge w:val="restart"/>
          </w:tcPr>
          <w:p w14:paraId="50E5CF47" w14:textId="77777777" w:rsidR="004F7593" w:rsidRPr="007A1AAD" w:rsidRDefault="00B544FE" w:rsidP="003160D7">
            <w:pPr>
              <w:rPr>
                <w:b/>
              </w:rPr>
            </w:pPr>
            <w:r w:rsidRPr="007A1AAD">
              <w:rPr>
                <w:b/>
              </w:rPr>
              <w:t>TR08 Attendance Standard – first attendance of an appliance at all life risk incidents in 10 minutes</w:t>
            </w:r>
          </w:p>
          <w:p w14:paraId="1B4DA878" w14:textId="77777777" w:rsidR="004F7593" w:rsidRDefault="00B544FE" w:rsidP="003160D7">
            <w:r w:rsidRPr="007A1AAD">
              <w:rPr>
                <w:b/>
              </w:rPr>
              <w:t>DR23 Alert to mobile in under 1.9 minutes</w:t>
            </w:r>
          </w:p>
        </w:tc>
        <w:tc>
          <w:tcPr>
            <w:tcW w:w="5127" w:type="dxa"/>
            <w:shd w:val="clear" w:color="auto" w:fill="00B050"/>
          </w:tcPr>
          <w:p w14:paraId="0D44B6A0" w14:textId="77777777" w:rsidR="004F7593" w:rsidRDefault="004F7593" w:rsidP="003160D7"/>
          <w:p w14:paraId="201EBFFD" w14:textId="77777777" w:rsidR="004F7593" w:rsidRDefault="004F7593" w:rsidP="003160D7"/>
        </w:tc>
      </w:tr>
      <w:tr w:rsidR="00D34955" w14:paraId="5E27E7F2" w14:textId="77777777" w:rsidTr="003160D7">
        <w:tc>
          <w:tcPr>
            <w:tcW w:w="5211" w:type="dxa"/>
            <w:gridSpan w:val="2"/>
            <w:vMerge/>
          </w:tcPr>
          <w:p w14:paraId="6F96FDBC" w14:textId="77777777" w:rsidR="004F7593" w:rsidRDefault="004F7593" w:rsidP="003160D7"/>
        </w:tc>
        <w:tc>
          <w:tcPr>
            <w:tcW w:w="5127" w:type="dxa"/>
            <w:shd w:val="clear" w:color="auto" w:fill="00B050"/>
          </w:tcPr>
          <w:p w14:paraId="0E90F62F" w14:textId="77777777" w:rsidR="004F7593" w:rsidRDefault="004F7593" w:rsidP="003160D7"/>
          <w:p w14:paraId="6A41174D" w14:textId="77777777" w:rsidR="004F7593" w:rsidRDefault="004F7593" w:rsidP="003160D7"/>
        </w:tc>
      </w:tr>
      <w:tr w:rsidR="00D34955" w14:paraId="7CF5D733" w14:textId="77777777" w:rsidTr="003160D7">
        <w:tc>
          <w:tcPr>
            <w:tcW w:w="3036" w:type="dxa"/>
          </w:tcPr>
          <w:p w14:paraId="3BFA1C3C" w14:textId="77777777" w:rsidR="004F7593" w:rsidRDefault="004F7593" w:rsidP="003160D7"/>
          <w:p w14:paraId="051A042A" w14:textId="77777777" w:rsidR="004F7593" w:rsidRPr="007A1AAD" w:rsidRDefault="00B544FE" w:rsidP="003160D7">
            <w:pPr>
              <w:rPr>
                <w:b/>
              </w:rPr>
            </w:pPr>
            <w:r w:rsidRPr="007A1AAD">
              <w:rPr>
                <w:b/>
              </w:rPr>
              <w:t>TR08</w:t>
            </w:r>
          </w:p>
        </w:tc>
        <w:tc>
          <w:tcPr>
            <w:tcW w:w="7302" w:type="dxa"/>
            <w:gridSpan w:val="2"/>
          </w:tcPr>
          <w:p w14:paraId="521E74FB" w14:textId="77777777" w:rsidR="004F7593" w:rsidRDefault="00B544FE" w:rsidP="003160D7">
            <w:r>
              <w:t>Operational staff attained the attendance standard of the attendance of the first appliance at a life risk incident within 10 minutes on 9</w:t>
            </w:r>
            <w:r w:rsidR="004C5A01">
              <w:t>6</w:t>
            </w:r>
            <w:r>
              <w:t>.</w:t>
            </w:r>
            <w:r w:rsidR="00397BD1">
              <w:t>4</w:t>
            </w:r>
            <w:r>
              <w:t xml:space="preserve">% of occasions, </w:t>
            </w:r>
            <w:r w:rsidR="00013B05">
              <w:t>achieving</w:t>
            </w:r>
            <w:r>
              <w:t xml:space="preserve"> the target of 90%. </w:t>
            </w:r>
            <w:r w:rsidR="003201C1">
              <w:t>In May, 100% was achieved.</w:t>
            </w:r>
            <w:r>
              <w:t xml:space="preserve"> </w:t>
            </w:r>
          </w:p>
          <w:p w14:paraId="757AA416" w14:textId="77777777" w:rsidR="00E063DA" w:rsidRDefault="00E063DA" w:rsidP="003160D7"/>
        </w:tc>
      </w:tr>
      <w:tr w:rsidR="00D34955" w14:paraId="39E16FFC" w14:textId="77777777" w:rsidTr="003160D7">
        <w:tc>
          <w:tcPr>
            <w:tcW w:w="3036" w:type="dxa"/>
          </w:tcPr>
          <w:p w14:paraId="7E4DBF6D" w14:textId="77777777" w:rsidR="004F7593" w:rsidRDefault="004F7593" w:rsidP="003160D7"/>
          <w:p w14:paraId="07B5BB34" w14:textId="77777777" w:rsidR="004F7593" w:rsidRPr="007A1AAD" w:rsidRDefault="00B544FE" w:rsidP="003160D7">
            <w:pPr>
              <w:rPr>
                <w:b/>
              </w:rPr>
            </w:pPr>
            <w:r w:rsidRPr="007A1AAD">
              <w:rPr>
                <w:b/>
              </w:rPr>
              <w:t>DR23</w:t>
            </w:r>
          </w:p>
        </w:tc>
        <w:tc>
          <w:tcPr>
            <w:tcW w:w="7302" w:type="dxa"/>
            <w:gridSpan w:val="2"/>
          </w:tcPr>
          <w:p w14:paraId="61DB5E14" w14:textId="77777777" w:rsidR="004F7593" w:rsidRDefault="00B544FE" w:rsidP="003160D7">
            <w:r>
              <w:t>Crews when being mobilised to emergency incidents went from alert to mobile in under 1.9 minutes on 9</w:t>
            </w:r>
            <w:r w:rsidR="004C5A01">
              <w:t>5</w:t>
            </w:r>
            <w:r w:rsidR="00CB375D">
              <w:t>.</w:t>
            </w:r>
            <w:r w:rsidR="004C5A01">
              <w:t>7</w:t>
            </w:r>
            <w:r>
              <w:t xml:space="preserve">% of incidents achieving the target 95%.   </w:t>
            </w:r>
          </w:p>
          <w:p w14:paraId="37B51B34" w14:textId="77777777" w:rsidR="00E063DA" w:rsidRDefault="00E063DA" w:rsidP="003160D7"/>
        </w:tc>
      </w:tr>
    </w:tbl>
    <w:p w14:paraId="1891E513" w14:textId="77777777" w:rsidR="004F7593" w:rsidRDefault="004F7593"/>
    <w:p w14:paraId="300DCB2B" w14:textId="77777777" w:rsidR="004F7593" w:rsidRDefault="004F7593"/>
    <w:p w14:paraId="1C37EC1E" w14:textId="77777777" w:rsidR="004F7593" w:rsidRDefault="004F7593"/>
    <w:p w14:paraId="2869F6EB" w14:textId="77777777" w:rsidR="004F7593" w:rsidRDefault="004F7593"/>
    <w:p w14:paraId="04325BCF" w14:textId="77777777" w:rsidR="004F7593" w:rsidRDefault="004F7593"/>
    <w:p w14:paraId="1AF8BDC9" w14:textId="77777777" w:rsidR="004F7593" w:rsidRDefault="004F7593"/>
    <w:p w14:paraId="53959A97" w14:textId="77777777" w:rsidR="004F7593" w:rsidRDefault="004F7593"/>
    <w:p w14:paraId="2D587324" w14:textId="77777777" w:rsidR="004F7593" w:rsidRDefault="004F7593"/>
    <w:p w14:paraId="3545EF37" w14:textId="77777777" w:rsidR="004F7593" w:rsidRDefault="004F7593"/>
    <w:p w14:paraId="56F6E13A" w14:textId="77777777" w:rsidR="004F7593" w:rsidRDefault="004F7593"/>
    <w:p w14:paraId="582B5C83" w14:textId="77777777" w:rsidR="004F7593" w:rsidRDefault="004F7593"/>
    <w:p w14:paraId="128903C1" w14:textId="77777777" w:rsidR="004F7593" w:rsidRDefault="00B544FE">
      <w:r>
        <w:br w:type="page"/>
      </w:r>
    </w:p>
    <w:tbl>
      <w:tblPr>
        <w:tblStyle w:val="TableGrid"/>
        <w:tblpPr w:leftFromText="180" w:rightFromText="180" w:vertAnchor="text" w:horzAnchor="margin" w:tblpY="-59"/>
        <w:tblOverlap w:val="never"/>
        <w:tblW w:w="0" w:type="auto"/>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0036"/>
      </w:tblGrid>
      <w:tr w:rsidR="00D34955" w14:paraId="19B9CA03" w14:textId="77777777" w:rsidTr="003160D7">
        <w:trPr>
          <w:trHeight w:val="23"/>
        </w:trPr>
        <w:tc>
          <w:tcPr>
            <w:tcW w:w="10036" w:type="dxa"/>
            <w:tcBorders>
              <w:top w:val="nil"/>
              <w:left w:val="nil"/>
              <w:bottom w:val="nil"/>
              <w:right w:val="nil"/>
            </w:tcBorders>
            <w:shd w:val="clear" w:color="auto" w:fill="FFFFFF" w:themeFill="background1"/>
          </w:tcPr>
          <w:tbl>
            <w:tblPr>
              <w:tblStyle w:val="TableGrid"/>
              <w:tblpPr w:leftFromText="180" w:rightFromText="180" w:vertAnchor="text" w:horzAnchor="margin" w:tblpY="-52"/>
              <w:tblOverlap w:val="never"/>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493"/>
              <w:gridCol w:w="474"/>
              <w:gridCol w:w="1427"/>
              <w:gridCol w:w="1408"/>
              <w:gridCol w:w="1467"/>
              <w:gridCol w:w="2502"/>
            </w:tblGrid>
            <w:tr w:rsidR="00D34955" w14:paraId="1B38D2EA" w14:textId="77777777" w:rsidTr="003160D7">
              <w:tc>
                <w:tcPr>
                  <w:tcW w:w="9771" w:type="dxa"/>
                  <w:gridSpan w:val="6"/>
                  <w:shd w:val="clear" w:color="auto" w:fill="5B9BD5" w:themeFill="accent1"/>
                </w:tcPr>
                <w:p w14:paraId="2D61C7C0" w14:textId="77777777" w:rsidR="004F7593" w:rsidRPr="005F20DB" w:rsidRDefault="00B544FE" w:rsidP="003160D7">
                  <w:pPr>
                    <w:rPr>
                      <w:b/>
                      <w:color w:val="FFFF00"/>
                      <w:sz w:val="28"/>
                      <w:szCs w:val="28"/>
                    </w:rPr>
                  </w:pPr>
                  <w:r w:rsidRPr="00681F4B">
                    <w:rPr>
                      <w:b/>
                      <w:color w:val="FFFFFF" w:themeColor="background1"/>
                      <w:sz w:val="28"/>
                      <w:szCs w:val="28"/>
                    </w:rPr>
                    <w:t>TD</w:t>
                  </w:r>
                  <w:proofErr w:type="gramStart"/>
                  <w:r w:rsidRPr="00681F4B">
                    <w:rPr>
                      <w:b/>
                      <w:color w:val="FFFFFF" w:themeColor="background1"/>
                      <w:sz w:val="28"/>
                      <w:szCs w:val="28"/>
                    </w:rPr>
                    <w:t>09  The</w:t>
                  </w:r>
                  <w:proofErr w:type="gramEnd"/>
                  <w:r w:rsidRPr="00681F4B">
                    <w:rPr>
                      <w:b/>
                      <w:color w:val="FFFFFF" w:themeColor="background1"/>
                      <w:sz w:val="28"/>
                      <w:szCs w:val="28"/>
                    </w:rPr>
                    <w:t xml:space="preserve"> % of available shifts lost to sickness absence, all personnel</w:t>
                  </w:r>
                </w:p>
              </w:tc>
            </w:tr>
            <w:tr w:rsidR="00D34955" w14:paraId="5D1EC062" w14:textId="77777777" w:rsidTr="001C5CFE">
              <w:trPr>
                <w:trHeight w:val="567"/>
              </w:trPr>
              <w:tc>
                <w:tcPr>
                  <w:tcW w:w="2493" w:type="dxa"/>
                  <w:shd w:val="clear" w:color="auto" w:fill="FFFF00"/>
                  <w:vAlign w:val="center"/>
                </w:tcPr>
                <w:p w14:paraId="6E001D64" w14:textId="77777777" w:rsidR="004F7593" w:rsidRDefault="00B544FE" w:rsidP="003160D7">
                  <w:pPr>
                    <w:jc w:val="center"/>
                  </w:pPr>
                  <w:r w:rsidRPr="00C63E5E">
                    <w:t>Service Plan Target</w:t>
                  </w:r>
                </w:p>
                <w:p w14:paraId="157482FC" w14:textId="17EB3CCE" w:rsidR="004F7593" w:rsidRDefault="00B544FE" w:rsidP="003160D7">
                  <w:pPr>
                    <w:jc w:val="center"/>
                  </w:pPr>
                  <w:r>
                    <w:t>Apr-</w:t>
                  </w:r>
                  <w:r w:rsidR="001C1ABD">
                    <w:t>Sept</w:t>
                  </w:r>
                  <w:r>
                    <w:t xml:space="preserve"> </w:t>
                  </w:r>
                  <w:r w:rsidR="00BD5E8A">
                    <w:t>202</w:t>
                  </w:r>
                  <w:r w:rsidR="004C5A01">
                    <w:t>4</w:t>
                  </w:r>
                </w:p>
              </w:tc>
              <w:tc>
                <w:tcPr>
                  <w:tcW w:w="1901" w:type="dxa"/>
                  <w:gridSpan w:val="2"/>
                  <w:shd w:val="clear" w:color="auto" w:fill="D9E2F3" w:themeFill="accent5" w:themeFillTint="33"/>
                  <w:vAlign w:val="center"/>
                </w:tcPr>
                <w:p w14:paraId="31D1C88D" w14:textId="77777777" w:rsidR="004F7593" w:rsidRPr="00117961" w:rsidRDefault="00B544FE" w:rsidP="003160D7">
                  <w:pPr>
                    <w:jc w:val="center"/>
                    <w:rPr>
                      <w:b/>
                    </w:rPr>
                  </w:pPr>
                  <w:r>
                    <w:rPr>
                      <w:b/>
                    </w:rPr>
                    <w:t>4</w:t>
                  </w:r>
                  <w:r w:rsidR="002E22CE" w:rsidRPr="00117961">
                    <w:rPr>
                      <w:b/>
                    </w:rPr>
                    <w:t>%</w:t>
                  </w:r>
                </w:p>
              </w:tc>
              <w:tc>
                <w:tcPr>
                  <w:tcW w:w="2875" w:type="dxa"/>
                  <w:gridSpan w:val="2"/>
                  <w:shd w:val="clear" w:color="auto" w:fill="FFFF00"/>
                  <w:vAlign w:val="center"/>
                </w:tcPr>
                <w:p w14:paraId="58079C3E" w14:textId="77777777" w:rsidR="004F7593" w:rsidRDefault="00B544FE" w:rsidP="003160D7">
                  <w:pPr>
                    <w:jc w:val="center"/>
                  </w:pPr>
                  <w:r w:rsidRPr="00C63E5E">
                    <w:t xml:space="preserve">Progress to </w:t>
                  </w:r>
                  <w:r w:rsidRPr="00C63E5E">
                    <w:t>Date</w:t>
                  </w:r>
                </w:p>
              </w:tc>
              <w:tc>
                <w:tcPr>
                  <w:tcW w:w="2502" w:type="dxa"/>
                  <w:shd w:val="clear" w:color="auto" w:fill="FFC000"/>
                  <w:vAlign w:val="center"/>
                </w:tcPr>
                <w:p w14:paraId="3701DA41" w14:textId="77777777" w:rsidR="004F7593" w:rsidRPr="00CB375D" w:rsidRDefault="00B544FE" w:rsidP="00CB375D">
                  <w:pPr>
                    <w:jc w:val="center"/>
                    <w:rPr>
                      <w:bCs/>
                      <w:color w:val="000000" w:themeColor="text1"/>
                    </w:rPr>
                  </w:pPr>
                  <w:r>
                    <w:rPr>
                      <w:b/>
                      <w:color w:val="000000" w:themeColor="text1"/>
                    </w:rPr>
                    <w:t>4.</w:t>
                  </w:r>
                  <w:r w:rsidR="00397BD1">
                    <w:rPr>
                      <w:b/>
                      <w:color w:val="000000" w:themeColor="text1"/>
                    </w:rPr>
                    <w:t>30</w:t>
                  </w:r>
                  <w:r w:rsidR="0054252B" w:rsidRPr="001C5CFE">
                    <w:rPr>
                      <w:b/>
                      <w:color w:val="000000" w:themeColor="text1"/>
                    </w:rPr>
                    <w:t>%</w:t>
                  </w:r>
                </w:p>
              </w:tc>
            </w:tr>
            <w:tr w:rsidR="00D34955" w14:paraId="1FFF502F" w14:textId="77777777" w:rsidTr="00640CA1">
              <w:tc>
                <w:tcPr>
                  <w:tcW w:w="9771" w:type="dxa"/>
                  <w:gridSpan w:val="6"/>
                </w:tcPr>
                <w:p w14:paraId="7FC76875" w14:textId="77777777" w:rsidR="004F7593" w:rsidRDefault="00B544FE" w:rsidP="001A63FE">
                  <w:pPr>
                    <w:jc w:val="center"/>
                    <w:rPr>
                      <w:noProof/>
                      <w:lang w:eastAsia="en-GB"/>
                    </w:rPr>
                  </w:pPr>
                  <w:r>
                    <w:rPr>
                      <w:noProof/>
                    </w:rPr>
                    <w:drawing>
                      <wp:inline distT="0" distB="0" distL="0" distR="0" wp14:anchorId="0945B289" wp14:editId="51DEF880">
                        <wp:extent cx="5772150" cy="2660400"/>
                        <wp:effectExtent l="0" t="0" r="0" b="6985"/>
                        <wp:docPr id="793712249" name="Chart 1">
                          <a:extLst xmlns:a="http://schemas.openxmlformats.org/drawingml/2006/main">
                            <a:ext uri="{FF2B5EF4-FFF2-40B4-BE49-F238E27FC236}">
                              <a16:creationId xmlns:a16="http://schemas.microsoft.com/office/drawing/2014/main" id="{00000000-0008-0000-06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r>
            <w:tr w:rsidR="00D34955" w14:paraId="2FFEA6C1" w14:textId="77777777" w:rsidTr="003160D7">
              <w:tc>
                <w:tcPr>
                  <w:tcW w:w="9771" w:type="dxa"/>
                  <w:gridSpan w:val="6"/>
                  <w:shd w:val="clear" w:color="auto" w:fill="5B9BD5" w:themeFill="accent1"/>
                </w:tcPr>
                <w:p w14:paraId="20B3E255" w14:textId="77777777" w:rsidR="004F7593" w:rsidRPr="005359B6" w:rsidRDefault="00B544FE" w:rsidP="003160D7">
                  <w:pPr>
                    <w:jc w:val="center"/>
                    <w:rPr>
                      <w:b/>
                      <w:color w:val="FFFFFF" w:themeColor="background1"/>
                    </w:rPr>
                  </w:pPr>
                  <w:r w:rsidRPr="00093823">
                    <w:rPr>
                      <w:b/>
                      <w:color w:val="FFFFFF" w:themeColor="background1"/>
                      <w:sz w:val="24"/>
                    </w:rPr>
                    <w:t>COMMENTARY:</w:t>
                  </w:r>
                </w:p>
              </w:tc>
            </w:tr>
            <w:tr w:rsidR="00D34955" w14:paraId="5138C43A" w14:textId="77777777" w:rsidTr="001C5CFE">
              <w:trPr>
                <w:trHeight w:val="284"/>
              </w:trPr>
              <w:tc>
                <w:tcPr>
                  <w:tcW w:w="5802" w:type="dxa"/>
                  <w:gridSpan w:val="4"/>
                  <w:shd w:val="clear" w:color="auto" w:fill="auto"/>
                </w:tcPr>
                <w:p w14:paraId="575005B7" w14:textId="77777777" w:rsidR="004F7593" w:rsidRPr="005359B6" w:rsidRDefault="00B544FE" w:rsidP="003160D7">
                  <w:pPr>
                    <w:rPr>
                      <w:b/>
                      <w:color w:val="FFFFFF" w:themeColor="background1"/>
                    </w:rPr>
                  </w:pPr>
                  <w:r w:rsidRPr="00681F4B">
                    <w:rPr>
                      <w:b/>
                      <w:szCs w:val="24"/>
                    </w:rPr>
                    <w:t>TD09 The % of available shifts lost to sickness absence, all personnel</w:t>
                  </w:r>
                </w:p>
              </w:tc>
              <w:tc>
                <w:tcPr>
                  <w:tcW w:w="3969" w:type="dxa"/>
                  <w:gridSpan w:val="2"/>
                  <w:shd w:val="clear" w:color="auto" w:fill="FFC000"/>
                </w:tcPr>
                <w:p w14:paraId="33F821E3" w14:textId="77777777" w:rsidR="004F7593" w:rsidRPr="005359B6" w:rsidRDefault="004F7593" w:rsidP="003160D7">
                  <w:pPr>
                    <w:rPr>
                      <w:b/>
                      <w:color w:val="FFFFFF" w:themeColor="background1"/>
                    </w:rPr>
                  </w:pPr>
                </w:p>
              </w:tc>
            </w:tr>
            <w:tr w:rsidR="00D34955" w14:paraId="4917F5AC" w14:textId="77777777" w:rsidTr="003160D7">
              <w:trPr>
                <w:trHeight w:val="284"/>
              </w:trPr>
              <w:tc>
                <w:tcPr>
                  <w:tcW w:w="5802" w:type="dxa"/>
                  <w:gridSpan w:val="4"/>
                  <w:shd w:val="clear" w:color="auto" w:fill="auto"/>
                </w:tcPr>
                <w:p w14:paraId="09CCB8D8" w14:textId="77777777" w:rsidR="004F7593" w:rsidRPr="005359B6" w:rsidRDefault="00B544FE" w:rsidP="003160D7">
                  <w:pPr>
                    <w:rPr>
                      <w:b/>
                      <w:color w:val="FFFFFF" w:themeColor="background1"/>
                    </w:rPr>
                  </w:pPr>
                  <w:r w:rsidRPr="00681F4B">
                    <w:rPr>
                      <w:b/>
                      <w:szCs w:val="24"/>
                    </w:rPr>
                    <w:t>WD11 The % of available shifts lost to sickness absence per wholetime equivalent G</w:t>
                  </w:r>
                  <w:r w:rsidR="003201C1">
                    <w:rPr>
                      <w:b/>
                      <w:szCs w:val="24"/>
                    </w:rPr>
                    <w:t>re</w:t>
                  </w:r>
                  <w:r>
                    <w:rPr>
                      <w:b/>
                      <w:szCs w:val="24"/>
                    </w:rPr>
                    <w:t>y</w:t>
                  </w:r>
                  <w:r w:rsidRPr="00681F4B">
                    <w:rPr>
                      <w:b/>
                      <w:szCs w:val="24"/>
                    </w:rPr>
                    <w:t xml:space="preserve"> </w:t>
                  </w:r>
                  <w:r w:rsidR="003201C1">
                    <w:rPr>
                      <w:b/>
                      <w:szCs w:val="24"/>
                    </w:rPr>
                    <w:t>B</w:t>
                  </w:r>
                  <w:r w:rsidRPr="00681F4B">
                    <w:rPr>
                      <w:b/>
                      <w:szCs w:val="24"/>
                    </w:rPr>
                    <w:t>ook (operational) personnel</w:t>
                  </w:r>
                </w:p>
              </w:tc>
              <w:tc>
                <w:tcPr>
                  <w:tcW w:w="3969" w:type="dxa"/>
                  <w:gridSpan w:val="2"/>
                  <w:shd w:val="clear" w:color="auto" w:fill="FF0000"/>
                </w:tcPr>
                <w:p w14:paraId="0DDBECCC" w14:textId="77777777" w:rsidR="004F7593" w:rsidRPr="005359B6" w:rsidRDefault="004F7593" w:rsidP="003160D7">
                  <w:pPr>
                    <w:rPr>
                      <w:b/>
                      <w:color w:val="FFFFFF" w:themeColor="background1"/>
                    </w:rPr>
                  </w:pPr>
                </w:p>
              </w:tc>
            </w:tr>
            <w:tr w:rsidR="00D34955" w14:paraId="4F1EA34A" w14:textId="77777777" w:rsidTr="001C5CFE">
              <w:trPr>
                <w:trHeight w:val="284"/>
              </w:trPr>
              <w:tc>
                <w:tcPr>
                  <w:tcW w:w="5802" w:type="dxa"/>
                  <w:gridSpan w:val="4"/>
                  <w:shd w:val="clear" w:color="auto" w:fill="auto"/>
                </w:tcPr>
                <w:p w14:paraId="37389DBA" w14:textId="77777777" w:rsidR="004F7593" w:rsidRPr="005359B6" w:rsidRDefault="00B544FE" w:rsidP="003160D7">
                  <w:pPr>
                    <w:rPr>
                      <w:b/>
                      <w:color w:val="FFFFFF" w:themeColor="background1"/>
                    </w:rPr>
                  </w:pPr>
                  <w:r w:rsidRPr="00681F4B">
                    <w:rPr>
                      <w:b/>
                      <w:szCs w:val="24"/>
                    </w:rPr>
                    <w:t xml:space="preserve">WD12 The % of available shifts </w:t>
                  </w:r>
                  <w:r w:rsidRPr="00681F4B">
                    <w:rPr>
                      <w:b/>
                      <w:szCs w:val="24"/>
                    </w:rPr>
                    <w:t>lost to sickness absence per wholetime equivalent G</w:t>
                  </w:r>
                  <w:r w:rsidR="003201C1">
                    <w:rPr>
                      <w:b/>
                      <w:szCs w:val="24"/>
                    </w:rPr>
                    <w:t>reen</w:t>
                  </w:r>
                  <w:r w:rsidRPr="00681F4B">
                    <w:rPr>
                      <w:b/>
                      <w:szCs w:val="24"/>
                    </w:rPr>
                    <w:t xml:space="preserve"> &amp; R</w:t>
                  </w:r>
                  <w:r w:rsidR="003201C1">
                    <w:rPr>
                      <w:b/>
                      <w:szCs w:val="24"/>
                    </w:rPr>
                    <w:t>ed</w:t>
                  </w:r>
                  <w:r w:rsidRPr="00681F4B">
                    <w:rPr>
                      <w:b/>
                      <w:szCs w:val="24"/>
                    </w:rPr>
                    <w:t xml:space="preserve"> </w:t>
                  </w:r>
                  <w:r w:rsidR="003201C1">
                    <w:rPr>
                      <w:b/>
                      <w:szCs w:val="24"/>
                    </w:rPr>
                    <w:t>B</w:t>
                  </w:r>
                  <w:r w:rsidRPr="00681F4B">
                    <w:rPr>
                      <w:b/>
                      <w:szCs w:val="24"/>
                    </w:rPr>
                    <w:t>ook (non uniformed) personnel</w:t>
                  </w:r>
                </w:p>
              </w:tc>
              <w:tc>
                <w:tcPr>
                  <w:tcW w:w="3969" w:type="dxa"/>
                  <w:gridSpan w:val="2"/>
                  <w:shd w:val="clear" w:color="auto" w:fill="00B050"/>
                </w:tcPr>
                <w:p w14:paraId="1207C509" w14:textId="77777777" w:rsidR="004F7593" w:rsidRPr="005359B6" w:rsidRDefault="004F7593" w:rsidP="003160D7">
                  <w:pPr>
                    <w:rPr>
                      <w:b/>
                      <w:color w:val="FFFFFF" w:themeColor="background1"/>
                    </w:rPr>
                  </w:pPr>
                </w:p>
              </w:tc>
            </w:tr>
            <w:tr w:rsidR="00D34955" w14:paraId="73A931EF" w14:textId="77777777" w:rsidTr="003160D7">
              <w:trPr>
                <w:trHeight w:val="276"/>
              </w:trPr>
              <w:tc>
                <w:tcPr>
                  <w:tcW w:w="2967" w:type="dxa"/>
                  <w:gridSpan w:val="2"/>
                  <w:shd w:val="clear" w:color="auto" w:fill="auto"/>
                </w:tcPr>
                <w:p w14:paraId="656B307D" w14:textId="77777777" w:rsidR="004F7593" w:rsidRPr="005359B6" w:rsidRDefault="00B544FE" w:rsidP="003160D7">
                  <w:pPr>
                    <w:rPr>
                      <w:b/>
                      <w:color w:val="FFFFFF" w:themeColor="background1"/>
                    </w:rPr>
                  </w:pPr>
                  <w:r>
                    <w:rPr>
                      <w:b/>
                    </w:rPr>
                    <w:t>TD09</w:t>
                  </w:r>
                </w:p>
              </w:tc>
              <w:tc>
                <w:tcPr>
                  <w:tcW w:w="6804" w:type="dxa"/>
                  <w:gridSpan w:val="4"/>
                  <w:shd w:val="clear" w:color="auto" w:fill="auto"/>
                </w:tcPr>
                <w:p w14:paraId="5C3006BF" w14:textId="77777777" w:rsidR="004F7593" w:rsidRDefault="00B544FE" w:rsidP="001C5CFE">
                  <w:r w:rsidRPr="004F73E9">
                    <w:t xml:space="preserve">Overall sickness among all staff </w:t>
                  </w:r>
                  <w:r w:rsidRPr="00AF288B">
                    <w:t>at 4.</w:t>
                  </w:r>
                  <w:r w:rsidR="00397BD1">
                    <w:t>30</w:t>
                  </w:r>
                  <w:r w:rsidRPr="00AF288B">
                    <w:t>%</w:t>
                  </w:r>
                  <w:r w:rsidRPr="004F73E9">
                    <w:t xml:space="preserve"> shifts lost to sickness absence exceeds th</w:t>
                  </w:r>
                  <w:r>
                    <w:t>e 4% target</w:t>
                  </w:r>
                  <w:r w:rsidR="003201C1">
                    <w:t xml:space="preserve"> and is </w:t>
                  </w:r>
                  <w:r w:rsidR="00397BD1">
                    <w:t>slightly lower than</w:t>
                  </w:r>
                  <w:r w:rsidR="003201C1">
                    <w:t xml:space="preserve"> p</w:t>
                  </w:r>
                  <w:r>
                    <w:t xml:space="preserve">erformance at </w:t>
                  </w:r>
                  <w:r w:rsidR="003201C1">
                    <w:t>Q</w:t>
                  </w:r>
                  <w:r w:rsidR="00397BD1">
                    <w:t>2</w:t>
                  </w:r>
                  <w:r>
                    <w:t xml:space="preserve"> 202</w:t>
                  </w:r>
                  <w:r w:rsidR="00013B05">
                    <w:t>3</w:t>
                  </w:r>
                  <w:r w:rsidR="003201C1">
                    <w:t>/4</w:t>
                  </w:r>
                  <w:r>
                    <w:t xml:space="preserve"> </w:t>
                  </w:r>
                  <w:r w:rsidR="00FA75CC">
                    <w:t>when absence was</w:t>
                  </w:r>
                  <w:r>
                    <w:t xml:space="preserve"> </w:t>
                  </w:r>
                  <w:r w:rsidR="008677BE">
                    <w:t>4.</w:t>
                  </w:r>
                  <w:r w:rsidR="00397BD1">
                    <w:t>35</w:t>
                  </w:r>
                  <w:r>
                    <w:t>%.</w:t>
                  </w:r>
                </w:p>
                <w:p w14:paraId="397FB756" w14:textId="77777777" w:rsidR="00E063DA" w:rsidRPr="004F73E9" w:rsidRDefault="00E063DA" w:rsidP="001C5CFE">
                  <w:pPr>
                    <w:rPr>
                      <w:b/>
                      <w:color w:val="FFFFFF" w:themeColor="background1"/>
                    </w:rPr>
                  </w:pPr>
                </w:p>
              </w:tc>
            </w:tr>
            <w:tr w:rsidR="00D34955" w14:paraId="2A0BDB05" w14:textId="77777777" w:rsidTr="003160D7">
              <w:trPr>
                <w:trHeight w:val="276"/>
              </w:trPr>
              <w:tc>
                <w:tcPr>
                  <w:tcW w:w="2967" w:type="dxa"/>
                  <w:gridSpan w:val="2"/>
                  <w:shd w:val="clear" w:color="auto" w:fill="auto"/>
                </w:tcPr>
                <w:p w14:paraId="3CED99E8" w14:textId="77777777" w:rsidR="004F7593" w:rsidRDefault="00B544FE" w:rsidP="003160D7">
                  <w:pPr>
                    <w:rPr>
                      <w:b/>
                    </w:rPr>
                  </w:pPr>
                  <w:r>
                    <w:rPr>
                      <w:b/>
                    </w:rPr>
                    <w:t>WD11</w:t>
                  </w:r>
                </w:p>
                <w:p w14:paraId="02362B55" w14:textId="77777777" w:rsidR="004F7593" w:rsidRPr="005359B6" w:rsidRDefault="00B544FE" w:rsidP="003160D7">
                  <w:pPr>
                    <w:rPr>
                      <w:b/>
                      <w:color w:val="FFFFFF" w:themeColor="background1"/>
                    </w:rPr>
                  </w:pPr>
                  <w:r>
                    <w:rPr>
                      <w:b/>
                    </w:rPr>
                    <w:t>WD12</w:t>
                  </w:r>
                </w:p>
              </w:tc>
              <w:tc>
                <w:tcPr>
                  <w:tcW w:w="6804" w:type="dxa"/>
                  <w:gridSpan w:val="4"/>
                  <w:shd w:val="clear" w:color="auto" w:fill="auto"/>
                </w:tcPr>
                <w:p w14:paraId="73290B61" w14:textId="77777777" w:rsidR="004F7593" w:rsidRDefault="00B544FE" w:rsidP="003160D7">
                  <w:r>
                    <w:t xml:space="preserve">Cumulatively </w:t>
                  </w:r>
                  <w:r w:rsidR="008677BE">
                    <w:t>4.</w:t>
                  </w:r>
                  <w:r w:rsidR="00397BD1">
                    <w:t>57</w:t>
                  </w:r>
                  <w:r w:rsidRPr="004F73E9">
                    <w:t xml:space="preserve">% of shifts were lost to sickness absence among uniformed staff. </w:t>
                  </w:r>
                  <w:r>
                    <w:t xml:space="preserve">This is </w:t>
                  </w:r>
                  <w:r w:rsidR="008677BE">
                    <w:t>lower</w:t>
                  </w:r>
                  <w:r>
                    <w:t xml:space="preserve"> than at the end of </w:t>
                  </w:r>
                  <w:r w:rsidR="003201C1">
                    <w:t>Q</w:t>
                  </w:r>
                  <w:r w:rsidR="00397BD1">
                    <w:t>2</w:t>
                  </w:r>
                  <w:r>
                    <w:t xml:space="preserve"> </w:t>
                  </w:r>
                  <w:r w:rsidR="003201C1">
                    <w:t>20</w:t>
                  </w:r>
                  <w:r w:rsidR="008677BE">
                    <w:t>2</w:t>
                  </w:r>
                  <w:r w:rsidR="00013B05">
                    <w:t>3</w:t>
                  </w:r>
                  <w:r w:rsidR="003201C1">
                    <w:t>/</w:t>
                  </w:r>
                  <w:r>
                    <w:t>2</w:t>
                  </w:r>
                  <w:r w:rsidR="003201C1">
                    <w:t>4</w:t>
                  </w:r>
                  <w:r w:rsidR="008677BE">
                    <w:t xml:space="preserve"> </w:t>
                  </w:r>
                  <w:r>
                    <w:t xml:space="preserve">when </w:t>
                  </w:r>
                  <w:r w:rsidR="003201C1">
                    <w:t>G</w:t>
                  </w:r>
                  <w:r>
                    <w:t xml:space="preserve">rey </w:t>
                  </w:r>
                  <w:r w:rsidR="003201C1">
                    <w:t>B</w:t>
                  </w:r>
                  <w:r>
                    <w:t xml:space="preserve">ook absence was </w:t>
                  </w:r>
                  <w:r w:rsidR="00013B05">
                    <w:t>4.</w:t>
                  </w:r>
                  <w:r w:rsidR="00397BD1">
                    <w:t>67</w:t>
                  </w:r>
                  <w:r>
                    <w:t>%.</w:t>
                  </w:r>
                </w:p>
                <w:p w14:paraId="08A68E97" w14:textId="77777777" w:rsidR="00FA75CC" w:rsidRPr="004F73E9" w:rsidRDefault="00FA75CC" w:rsidP="003160D7"/>
                <w:p w14:paraId="78B8F51E" w14:textId="2823F9E9" w:rsidR="004F7593" w:rsidRDefault="00B544FE" w:rsidP="003160D7">
                  <w:r w:rsidRPr="004F73E9">
                    <w:t>No</w:t>
                  </w:r>
                  <w:r>
                    <w:t xml:space="preserve">n-uniformed staff absence in </w:t>
                  </w:r>
                  <w:r w:rsidR="00723729">
                    <w:t>Q</w:t>
                  </w:r>
                  <w:r w:rsidR="00397BD1">
                    <w:t>2</w:t>
                  </w:r>
                  <w:r>
                    <w:t xml:space="preserve"> was </w:t>
                  </w:r>
                  <w:r w:rsidR="008677BE">
                    <w:t>3.</w:t>
                  </w:r>
                  <w:r w:rsidR="00397BD1">
                    <w:t>90</w:t>
                  </w:r>
                  <w:r w:rsidRPr="004F73E9">
                    <w:t>%.  Th</w:t>
                  </w:r>
                  <w:r>
                    <w:t>is is</w:t>
                  </w:r>
                  <w:r w:rsidR="00397BD1">
                    <w:t xml:space="preserve"> </w:t>
                  </w:r>
                  <w:r>
                    <w:t>slightly</w:t>
                  </w:r>
                  <w:r w:rsidR="005C50E6">
                    <w:t xml:space="preserve"> </w:t>
                  </w:r>
                  <w:r w:rsidR="008677BE">
                    <w:t>higher than at Q</w:t>
                  </w:r>
                  <w:r w:rsidR="00397BD1">
                    <w:t>2</w:t>
                  </w:r>
                  <w:r w:rsidR="008677BE">
                    <w:t xml:space="preserve"> 202</w:t>
                  </w:r>
                  <w:r w:rsidR="005C50E6">
                    <w:t>3</w:t>
                  </w:r>
                  <w:r>
                    <w:t xml:space="preserve">/24 when </w:t>
                  </w:r>
                  <w:r w:rsidR="005C50E6">
                    <w:t>3.</w:t>
                  </w:r>
                  <w:r w:rsidR="00397BD1">
                    <w:t>86</w:t>
                  </w:r>
                  <w:r>
                    <w:t xml:space="preserve">% of available shifts were lost to sickness </w:t>
                  </w:r>
                  <w:r w:rsidR="005C50E6">
                    <w:t>absence</w:t>
                  </w:r>
                  <w:r w:rsidR="008E18C3">
                    <w:t>.</w:t>
                  </w:r>
                </w:p>
                <w:p w14:paraId="6AA07DED" w14:textId="77777777" w:rsidR="00FA75CC" w:rsidRPr="004F73E9" w:rsidRDefault="00FA75CC" w:rsidP="003160D7">
                  <w:pPr>
                    <w:rPr>
                      <w:b/>
                      <w:color w:val="FFFFFF" w:themeColor="background1"/>
                    </w:rPr>
                  </w:pPr>
                </w:p>
              </w:tc>
            </w:tr>
          </w:tbl>
          <w:p w14:paraId="23DE1434" w14:textId="77777777" w:rsidR="004F7593" w:rsidRDefault="004F7593" w:rsidP="003160D7">
            <w:pPr>
              <w:rPr>
                <w:b/>
                <w:color w:val="FFFFFF" w:themeColor="background1"/>
                <w:sz w:val="28"/>
                <w:szCs w:val="28"/>
              </w:rPr>
            </w:pPr>
          </w:p>
        </w:tc>
      </w:tr>
      <w:tr w:rsidR="00D34955" w14:paraId="775DBF86" w14:textId="77777777" w:rsidTr="003160D7">
        <w:trPr>
          <w:trHeight w:val="23"/>
        </w:trPr>
        <w:tc>
          <w:tcPr>
            <w:tcW w:w="10036" w:type="dxa"/>
            <w:tcBorders>
              <w:top w:val="nil"/>
              <w:left w:val="nil"/>
              <w:bottom w:val="nil"/>
              <w:right w:val="nil"/>
            </w:tcBorders>
            <w:shd w:val="clear" w:color="auto" w:fill="FFFFFF" w:themeFill="background1"/>
          </w:tcPr>
          <w:p w14:paraId="078794A2" w14:textId="77777777" w:rsidR="004F7593" w:rsidRDefault="004F7593" w:rsidP="003160D7">
            <w:pPr>
              <w:rPr>
                <w:b/>
                <w:color w:val="FFFFFF" w:themeColor="background1"/>
                <w:sz w:val="28"/>
                <w:szCs w:val="28"/>
              </w:rPr>
            </w:pPr>
          </w:p>
        </w:tc>
      </w:tr>
    </w:tbl>
    <w:p w14:paraId="62896C1E" w14:textId="77777777" w:rsidR="004F7593" w:rsidRDefault="004F7593"/>
    <w:p w14:paraId="4D059F3A" w14:textId="77777777" w:rsidR="004F7593" w:rsidRDefault="00B544FE">
      <w:r>
        <w:br w:type="page"/>
      </w:r>
    </w:p>
    <w:tbl>
      <w:tblPr>
        <w:tblStyle w:val="TableGrid"/>
        <w:tblW w:w="10976" w:type="dxa"/>
        <w:tblInd w:w="78"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0976"/>
      </w:tblGrid>
      <w:tr w:rsidR="00D34955" w14:paraId="4D837191" w14:textId="77777777" w:rsidTr="003160D7">
        <w:trPr>
          <w:trHeight w:val="23"/>
        </w:trPr>
        <w:tc>
          <w:tcPr>
            <w:tcW w:w="10976" w:type="dxa"/>
            <w:tcBorders>
              <w:top w:val="nil"/>
              <w:left w:val="nil"/>
              <w:bottom w:val="nil"/>
              <w:right w:val="nil"/>
            </w:tcBorders>
            <w:shd w:val="clear" w:color="auto" w:fill="FFFFFF" w:themeFill="background1"/>
          </w:tcPr>
          <w:p w14:paraId="6BBA5639" w14:textId="77777777" w:rsidR="004F7593" w:rsidRDefault="004F7593" w:rsidP="003160D7">
            <w:pPr>
              <w:rPr>
                <w:b/>
                <w:color w:val="FFFFFF" w:themeColor="background1"/>
                <w:sz w:val="24"/>
                <w:szCs w:val="24"/>
              </w:rPr>
            </w:pPr>
          </w:p>
          <w:p w14:paraId="668AC6F6" w14:textId="77777777" w:rsidR="004F7593" w:rsidRDefault="004F7593" w:rsidP="003160D7">
            <w:pPr>
              <w:rPr>
                <w:b/>
                <w:color w:val="FFFFFF" w:themeColor="background1"/>
                <w:sz w:val="24"/>
                <w:szCs w:val="24"/>
              </w:rPr>
            </w:pPr>
          </w:p>
          <w:tbl>
            <w:tblPr>
              <w:tblStyle w:val="TableGrid"/>
              <w:tblpPr w:leftFromText="180" w:rightFromText="180" w:vertAnchor="text" w:horzAnchor="margin" w:tblpY="-171"/>
              <w:tblOverlap w:val="never"/>
              <w:tblW w:w="0" w:type="auto"/>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9542"/>
            </w:tblGrid>
            <w:tr w:rsidR="00D34955" w14:paraId="18E87743" w14:textId="77777777" w:rsidTr="003160D7">
              <w:trPr>
                <w:trHeight w:val="23"/>
              </w:trPr>
              <w:tc>
                <w:tcPr>
                  <w:tcW w:w="9410" w:type="dxa"/>
                  <w:tcBorders>
                    <w:top w:val="nil"/>
                    <w:left w:val="nil"/>
                    <w:bottom w:val="nil"/>
                    <w:right w:val="nil"/>
                  </w:tcBorders>
                  <w:shd w:val="clear" w:color="auto" w:fill="FFFFFF" w:themeFill="background1"/>
                </w:tcPr>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809"/>
                    <w:gridCol w:w="484"/>
                    <w:gridCol w:w="1363"/>
                    <w:gridCol w:w="502"/>
                    <w:gridCol w:w="2374"/>
                    <w:gridCol w:w="1774"/>
                  </w:tblGrid>
                  <w:tr w:rsidR="00D34955" w14:paraId="0ED36F88" w14:textId="77777777" w:rsidTr="00014E79">
                    <w:tc>
                      <w:tcPr>
                        <w:tcW w:w="9174" w:type="dxa"/>
                        <w:gridSpan w:val="6"/>
                        <w:shd w:val="clear" w:color="auto" w:fill="5B9BD5" w:themeFill="accent1"/>
                      </w:tcPr>
                      <w:p w14:paraId="74FFA7C0" w14:textId="77777777" w:rsidR="004F7593" w:rsidRPr="005F20DB" w:rsidRDefault="00B544FE" w:rsidP="003160D7">
                        <w:pPr>
                          <w:rPr>
                            <w:b/>
                            <w:color w:val="FFFFFF" w:themeColor="background1"/>
                            <w:sz w:val="28"/>
                            <w:szCs w:val="28"/>
                          </w:rPr>
                        </w:pPr>
                        <w:r w:rsidRPr="00681F4B">
                          <w:rPr>
                            <w:b/>
                            <w:color w:val="FFFFFF" w:themeColor="background1"/>
                            <w:sz w:val="28"/>
                            <w:szCs w:val="28"/>
                          </w:rPr>
                          <w:t>TE</w:t>
                        </w:r>
                        <w:proofErr w:type="gramStart"/>
                        <w:r w:rsidRPr="00681F4B">
                          <w:rPr>
                            <w:b/>
                            <w:color w:val="FFFFFF" w:themeColor="background1"/>
                            <w:sz w:val="28"/>
                            <w:szCs w:val="28"/>
                          </w:rPr>
                          <w:t>10  Total</w:t>
                        </w:r>
                        <w:proofErr w:type="gramEnd"/>
                        <w:r w:rsidRPr="00681F4B">
                          <w:rPr>
                            <w:b/>
                            <w:color w:val="FFFFFF" w:themeColor="background1"/>
                            <w:sz w:val="28"/>
                            <w:szCs w:val="28"/>
                          </w:rPr>
                          <w:t xml:space="preserve"> carbon output of all buildings</w:t>
                        </w:r>
                      </w:p>
                    </w:tc>
                  </w:tr>
                  <w:tr w:rsidR="00D34955" w14:paraId="54BF7707" w14:textId="77777777" w:rsidTr="00014E79">
                    <w:tc>
                      <w:tcPr>
                        <w:tcW w:w="2837" w:type="dxa"/>
                        <w:shd w:val="clear" w:color="auto" w:fill="FFFF00"/>
                        <w:vAlign w:val="center"/>
                      </w:tcPr>
                      <w:p w14:paraId="606A74C5" w14:textId="77777777" w:rsidR="004F7593" w:rsidRDefault="00B544FE" w:rsidP="003160D7">
                        <w:pPr>
                          <w:jc w:val="center"/>
                        </w:pPr>
                        <w:r w:rsidRPr="00C63E5E">
                          <w:t>Service Plan Target</w:t>
                        </w:r>
                      </w:p>
                      <w:p w14:paraId="6F0E8487" w14:textId="07371E10" w:rsidR="004F7593" w:rsidRDefault="00B544FE" w:rsidP="003160D7">
                        <w:pPr>
                          <w:jc w:val="center"/>
                        </w:pPr>
                        <w:r>
                          <w:t>Apr-</w:t>
                        </w:r>
                        <w:r w:rsidR="001C1ABD">
                          <w:t>Sept</w:t>
                        </w:r>
                        <w:r>
                          <w:t xml:space="preserve"> </w:t>
                        </w:r>
                        <w:r w:rsidR="00BD5E8A">
                          <w:t>202</w:t>
                        </w:r>
                        <w:r w:rsidR="005C50E6">
                          <w:t>4</w:t>
                        </w:r>
                      </w:p>
                    </w:tc>
                    <w:tc>
                      <w:tcPr>
                        <w:tcW w:w="1818" w:type="dxa"/>
                        <w:gridSpan w:val="2"/>
                        <w:shd w:val="clear" w:color="auto" w:fill="D9E2F3" w:themeFill="accent5" w:themeFillTint="33"/>
                        <w:vAlign w:val="center"/>
                      </w:tcPr>
                      <w:p w14:paraId="1AFF1C84" w14:textId="77777777" w:rsidR="004F7593" w:rsidRPr="00117961" w:rsidRDefault="00B544FE" w:rsidP="003160D7">
                        <w:pPr>
                          <w:jc w:val="center"/>
                          <w:rPr>
                            <w:b/>
                          </w:rPr>
                        </w:pPr>
                        <w:r>
                          <w:rPr>
                            <w:b/>
                          </w:rPr>
                          <w:t>25.4</w:t>
                        </w:r>
                      </w:p>
                    </w:tc>
                    <w:tc>
                      <w:tcPr>
                        <w:tcW w:w="2796" w:type="dxa"/>
                        <w:gridSpan w:val="2"/>
                        <w:shd w:val="clear" w:color="auto" w:fill="FFFF00"/>
                        <w:vAlign w:val="center"/>
                      </w:tcPr>
                      <w:p w14:paraId="47F5B5F7" w14:textId="77777777" w:rsidR="004F7593" w:rsidRDefault="00B544FE" w:rsidP="003160D7">
                        <w:pPr>
                          <w:jc w:val="center"/>
                        </w:pPr>
                        <w:r w:rsidRPr="00C63E5E">
                          <w:t>Progress to Date</w:t>
                        </w:r>
                      </w:p>
                    </w:tc>
                    <w:tc>
                      <w:tcPr>
                        <w:tcW w:w="1723" w:type="dxa"/>
                        <w:shd w:val="clear" w:color="auto" w:fill="00B050"/>
                        <w:vAlign w:val="center"/>
                      </w:tcPr>
                      <w:p w14:paraId="38529F8B" w14:textId="77777777" w:rsidR="004F7593" w:rsidRPr="008B1461" w:rsidRDefault="00B544FE" w:rsidP="003160D7">
                        <w:pPr>
                          <w:jc w:val="center"/>
                          <w:rPr>
                            <w:b/>
                            <w:color w:val="FFFF00"/>
                          </w:rPr>
                        </w:pPr>
                        <w:r w:rsidRPr="00397BD1">
                          <w:rPr>
                            <w:b/>
                          </w:rPr>
                          <w:t>20.5</w:t>
                        </w:r>
                      </w:p>
                    </w:tc>
                  </w:tr>
                  <w:tr w:rsidR="00D34955" w14:paraId="30E27717" w14:textId="77777777" w:rsidTr="00640CA1">
                    <w:tc>
                      <w:tcPr>
                        <w:tcW w:w="9174" w:type="dxa"/>
                        <w:gridSpan w:val="6"/>
                      </w:tcPr>
                      <w:p w14:paraId="50463816" w14:textId="77777777" w:rsidR="004F7593" w:rsidRDefault="00B544FE" w:rsidP="003160D7">
                        <w:pPr>
                          <w:rPr>
                            <w:noProof/>
                            <w:lang w:eastAsia="en-GB"/>
                          </w:rPr>
                        </w:pPr>
                        <w:r>
                          <w:rPr>
                            <w:noProof/>
                          </w:rPr>
                          <w:drawing>
                            <wp:inline distT="0" distB="0" distL="0" distR="0" wp14:anchorId="71F03252" wp14:editId="26C75C3E">
                              <wp:extent cx="5772150" cy="2660400"/>
                              <wp:effectExtent l="0" t="0" r="0" b="6985"/>
                              <wp:docPr id="317769655" name="Chart 1">
                                <a:extLst xmlns:a="http://schemas.openxmlformats.org/drawingml/2006/main">
                                  <a:ext uri="{FF2B5EF4-FFF2-40B4-BE49-F238E27FC236}">
                                    <a16:creationId xmlns:a16="http://schemas.microsoft.com/office/drawing/2014/main" id="{00000000-0008-0000-06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r w:rsidR="00D34955" w14:paraId="7274E540" w14:textId="77777777" w:rsidTr="00014E79">
                    <w:trPr>
                      <w:trHeight w:val="567"/>
                    </w:trPr>
                    <w:tc>
                      <w:tcPr>
                        <w:tcW w:w="5092" w:type="dxa"/>
                        <w:gridSpan w:val="4"/>
                      </w:tcPr>
                      <w:p w14:paraId="7AFF71B0" w14:textId="77777777" w:rsidR="004F7593" w:rsidRPr="00E56421" w:rsidRDefault="00B544FE" w:rsidP="003160D7">
                        <w:pPr>
                          <w:rPr>
                            <w:b/>
                          </w:rPr>
                        </w:pPr>
                        <w:r>
                          <w:rPr>
                            <w:b/>
                          </w:rPr>
                          <w:t xml:space="preserve">TE10 Total carbon output of all </w:t>
                        </w:r>
                        <w:r>
                          <w:rPr>
                            <w:b/>
                          </w:rPr>
                          <w:t>buildings</w:t>
                        </w:r>
                      </w:p>
                    </w:tc>
                    <w:tc>
                      <w:tcPr>
                        <w:tcW w:w="4082" w:type="dxa"/>
                        <w:gridSpan w:val="2"/>
                        <w:shd w:val="clear" w:color="auto" w:fill="00B050"/>
                      </w:tcPr>
                      <w:p w14:paraId="34B95FF4" w14:textId="77777777" w:rsidR="004F7593" w:rsidRDefault="004F7593" w:rsidP="003160D7"/>
                      <w:p w14:paraId="46A2E696" w14:textId="77777777" w:rsidR="004F7593" w:rsidRDefault="004F7593" w:rsidP="003160D7"/>
                    </w:tc>
                  </w:tr>
                  <w:tr w:rsidR="00D34955" w14:paraId="76B8825F" w14:textId="77777777" w:rsidTr="00014E79">
                    <w:tc>
                      <w:tcPr>
                        <w:tcW w:w="3270" w:type="dxa"/>
                        <w:gridSpan w:val="2"/>
                      </w:tcPr>
                      <w:p w14:paraId="098BC383" w14:textId="77777777" w:rsidR="004F7593" w:rsidRDefault="004F7593" w:rsidP="003160D7"/>
                      <w:p w14:paraId="51D8246C" w14:textId="77777777" w:rsidR="004F7593" w:rsidRPr="00417D19" w:rsidRDefault="00B544FE" w:rsidP="003160D7">
                        <w:pPr>
                          <w:rPr>
                            <w:b/>
                          </w:rPr>
                        </w:pPr>
                        <w:r w:rsidRPr="00417D19">
                          <w:rPr>
                            <w:b/>
                          </w:rPr>
                          <w:t>TE10</w:t>
                        </w:r>
                      </w:p>
                    </w:tc>
                    <w:tc>
                      <w:tcPr>
                        <w:tcW w:w="5904" w:type="dxa"/>
                        <w:gridSpan w:val="4"/>
                      </w:tcPr>
                      <w:p w14:paraId="6BFA2709" w14:textId="68890B0D" w:rsidR="004F7593" w:rsidRDefault="00B544FE" w:rsidP="00D90A35">
                        <w:r>
                          <w:t>Carbon output from all buildings</w:t>
                        </w:r>
                        <w:r w:rsidR="00345621">
                          <w:t xml:space="preserve"> (</w:t>
                        </w:r>
                        <w:r w:rsidR="00397BD1">
                          <w:t>20.</w:t>
                        </w:r>
                        <w:r>
                          <w:t>5</w:t>
                        </w:r>
                        <w:r w:rsidR="00345621">
                          <w:t>)</w:t>
                        </w:r>
                        <w:r>
                          <w:t xml:space="preserve"> </w:t>
                        </w:r>
                        <w:r w:rsidR="00397BD1">
                          <w:t xml:space="preserve">is </w:t>
                        </w:r>
                        <w:r>
                          <w:t>slightly lower than Q</w:t>
                        </w:r>
                        <w:r w:rsidR="00397BD1">
                          <w:t>2</w:t>
                        </w:r>
                        <w:r>
                          <w:t xml:space="preserve"> 202</w:t>
                        </w:r>
                        <w:r w:rsidR="00013B05">
                          <w:t>3</w:t>
                        </w:r>
                        <w:r>
                          <w:t>/2</w:t>
                        </w:r>
                        <w:r w:rsidR="00013B05">
                          <w:t>4</w:t>
                        </w:r>
                        <w:r>
                          <w:t xml:space="preserve"> (</w:t>
                        </w:r>
                        <w:r w:rsidR="00397BD1">
                          <w:t>20.7</w:t>
                        </w:r>
                        <w:r>
                          <w:t xml:space="preserve">) and below the target of </w:t>
                        </w:r>
                        <w:r w:rsidR="00397BD1">
                          <w:t>25.4</w:t>
                        </w:r>
                        <w:r>
                          <w:t xml:space="preserve">.  This measurement is based on tonnage of CO2# for the MFRS estate.    </w:t>
                        </w:r>
                      </w:p>
                    </w:tc>
                  </w:tr>
                </w:tbl>
                <w:p w14:paraId="1F6E6B54" w14:textId="77777777" w:rsidR="004F7593" w:rsidRDefault="004F7593" w:rsidP="003160D7">
                  <w:pPr>
                    <w:rPr>
                      <w:b/>
                      <w:color w:val="FFFFFF" w:themeColor="background1"/>
                      <w:sz w:val="24"/>
                      <w:szCs w:val="24"/>
                    </w:rPr>
                  </w:pPr>
                </w:p>
                <w:p w14:paraId="6A182FE2" w14:textId="77777777" w:rsidR="004F7593" w:rsidRDefault="004F7593" w:rsidP="003160D7">
                  <w:pPr>
                    <w:rPr>
                      <w:b/>
                      <w:color w:val="FFFFFF" w:themeColor="background1"/>
                      <w:sz w:val="24"/>
                      <w:szCs w:val="24"/>
                    </w:rPr>
                  </w:pPr>
                </w:p>
                <w:p w14:paraId="3CF1DE0C" w14:textId="77777777" w:rsidR="004F7593" w:rsidRDefault="004F7593" w:rsidP="003160D7">
                  <w:pPr>
                    <w:rPr>
                      <w:b/>
                      <w:color w:val="FFFFFF" w:themeColor="background1"/>
                      <w:sz w:val="24"/>
                      <w:szCs w:val="24"/>
                    </w:rPr>
                  </w:pPr>
                </w:p>
                <w:p w14:paraId="25E0503F" w14:textId="77777777" w:rsidR="004F7593" w:rsidRDefault="004F7593" w:rsidP="003160D7">
                  <w:pPr>
                    <w:rPr>
                      <w:b/>
                      <w:color w:val="FFFFFF" w:themeColor="background1"/>
                      <w:sz w:val="24"/>
                      <w:szCs w:val="24"/>
                    </w:rPr>
                  </w:pPr>
                </w:p>
                <w:p w14:paraId="29734B38" w14:textId="77777777" w:rsidR="004F7593" w:rsidRDefault="004F7593" w:rsidP="003160D7">
                  <w:pPr>
                    <w:rPr>
                      <w:b/>
                      <w:color w:val="FFFFFF" w:themeColor="background1"/>
                      <w:sz w:val="24"/>
                      <w:szCs w:val="24"/>
                    </w:rPr>
                  </w:pPr>
                </w:p>
                <w:p w14:paraId="47195E03" w14:textId="77777777" w:rsidR="004F7593" w:rsidRDefault="004F7593" w:rsidP="003160D7">
                  <w:pPr>
                    <w:rPr>
                      <w:b/>
                      <w:color w:val="FFFFFF" w:themeColor="background1"/>
                      <w:sz w:val="24"/>
                      <w:szCs w:val="24"/>
                    </w:rPr>
                  </w:pPr>
                </w:p>
                <w:p w14:paraId="33387B8C" w14:textId="77777777" w:rsidR="004F7593" w:rsidRPr="005C3B4F" w:rsidRDefault="004F7593" w:rsidP="003160D7">
                  <w:pPr>
                    <w:rPr>
                      <w:b/>
                      <w:color w:val="FFFFFF" w:themeColor="background1"/>
                      <w:sz w:val="24"/>
                      <w:szCs w:val="24"/>
                    </w:rPr>
                  </w:pPr>
                </w:p>
              </w:tc>
            </w:tr>
          </w:tbl>
          <w:p w14:paraId="2934112B" w14:textId="77777777" w:rsidR="004F7593" w:rsidRPr="005C3B4F" w:rsidRDefault="004F7593" w:rsidP="003160D7">
            <w:pPr>
              <w:rPr>
                <w:b/>
                <w:color w:val="FFFFFF" w:themeColor="background1"/>
                <w:sz w:val="24"/>
                <w:szCs w:val="24"/>
              </w:rPr>
            </w:pPr>
          </w:p>
        </w:tc>
      </w:tr>
    </w:tbl>
    <w:p w14:paraId="46A8A470" w14:textId="77777777" w:rsidR="004F7593" w:rsidRDefault="004F7593"/>
    <w:sectPr w:rsidR="004F7593" w:rsidSect="003160D7">
      <w:pgSz w:w="11906" w:h="16838"/>
      <w:pgMar w:top="720" w:right="720" w:bottom="720" w:left="72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Groves, Ria" w:date="2024-12-03T23:16:00Z" w:initials="RG">
    <w:p w14:paraId="5266EBDE" w14:textId="77777777" w:rsidR="00BA0BA3" w:rsidRDefault="00B544FE" w:rsidP="00BA0BA3">
      <w:pPr>
        <w:pStyle w:val="CommentText"/>
      </w:pPr>
      <w:r>
        <w:rPr>
          <w:rStyle w:val="CommentReference"/>
        </w:rPr>
        <w:annotationRef/>
      </w:r>
      <w:r>
        <w:t xml:space="preserve">Are the dates not july - </w:t>
      </w:r>
      <w:r>
        <w:t>September on each page?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266EBD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AFA0FD1" w16cex:dateUtc="2024-12-03T23:1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266EBDE" w16cid:durableId="2AFA0FD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4F6846" w14:textId="77777777" w:rsidR="00B544FE" w:rsidRDefault="00B544FE">
      <w:pPr>
        <w:spacing w:after="0" w:line="240" w:lineRule="auto"/>
      </w:pPr>
      <w:r>
        <w:separator/>
      </w:r>
    </w:p>
  </w:endnote>
  <w:endnote w:type="continuationSeparator" w:id="0">
    <w:p w14:paraId="36811AA4" w14:textId="77777777" w:rsidR="00B544FE" w:rsidRDefault="00B544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9582138"/>
      <w:docPartObj>
        <w:docPartGallery w:val="Page Numbers (Bottom of Page)"/>
        <w:docPartUnique/>
      </w:docPartObj>
    </w:sdtPr>
    <w:sdtEndPr>
      <w:rPr>
        <w:noProof/>
      </w:rPr>
    </w:sdtEndPr>
    <w:sdtContent>
      <w:p w14:paraId="084A2DDD" w14:textId="77777777" w:rsidR="004F7593" w:rsidRDefault="00B544F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0CE1A34" w14:textId="77777777" w:rsidR="004F7593" w:rsidRDefault="004F75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C9A1FE" w14:textId="77777777" w:rsidR="00B544FE" w:rsidRDefault="00B544FE">
      <w:pPr>
        <w:spacing w:after="0" w:line="240" w:lineRule="auto"/>
      </w:pPr>
      <w:r>
        <w:separator/>
      </w:r>
    </w:p>
  </w:footnote>
  <w:footnote w:type="continuationSeparator" w:id="0">
    <w:p w14:paraId="6CB67733" w14:textId="77777777" w:rsidR="00B544FE" w:rsidRDefault="00B544FE">
      <w:pPr>
        <w:spacing w:after="0" w:line="240" w:lineRule="auto"/>
      </w:pPr>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Groves, Ria">
    <w15:presenceInfo w15:providerId="AD" w15:userId="S::RiaGroves@merseyfire.gov.uk::0dd2120a-ce0a-4a29-a10e-6512ba47cf7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61B1"/>
    <w:rsid w:val="000072A9"/>
    <w:rsid w:val="00013B05"/>
    <w:rsid w:val="00056C21"/>
    <w:rsid w:val="000775C7"/>
    <w:rsid w:val="00093823"/>
    <w:rsid w:val="00094FC2"/>
    <w:rsid w:val="000C549D"/>
    <w:rsid w:val="000E2FBF"/>
    <w:rsid w:val="000F6186"/>
    <w:rsid w:val="00117961"/>
    <w:rsid w:val="0013696A"/>
    <w:rsid w:val="001478EF"/>
    <w:rsid w:val="00151B41"/>
    <w:rsid w:val="001557D0"/>
    <w:rsid w:val="00195C25"/>
    <w:rsid w:val="001A63FE"/>
    <w:rsid w:val="001C1ABD"/>
    <w:rsid w:val="001C2EFA"/>
    <w:rsid w:val="001C5CFE"/>
    <w:rsid w:val="001C7075"/>
    <w:rsid w:val="001E0040"/>
    <w:rsid w:val="001F426D"/>
    <w:rsid w:val="0021486A"/>
    <w:rsid w:val="002A429E"/>
    <w:rsid w:val="002E22CE"/>
    <w:rsid w:val="002F70FE"/>
    <w:rsid w:val="00302A5A"/>
    <w:rsid w:val="003160D7"/>
    <w:rsid w:val="003201C1"/>
    <w:rsid w:val="00325D5D"/>
    <w:rsid w:val="003361CD"/>
    <w:rsid w:val="00345621"/>
    <w:rsid w:val="00376821"/>
    <w:rsid w:val="003866C2"/>
    <w:rsid w:val="00397BD1"/>
    <w:rsid w:val="003A7EC2"/>
    <w:rsid w:val="003B7BAB"/>
    <w:rsid w:val="00417D19"/>
    <w:rsid w:val="004310F3"/>
    <w:rsid w:val="0043152B"/>
    <w:rsid w:val="00441C71"/>
    <w:rsid w:val="00447E97"/>
    <w:rsid w:val="004B0F95"/>
    <w:rsid w:val="004C5A01"/>
    <w:rsid w:val="004D4B15"/>
    <w:rsid w:val="004D68EF"/>
    <w:rsid w:val="004E7146"/>
    <w:rsid w:val="004F0C38"/>
    <w:rsid w:val="004F17D1"/>
    <w:rsid w:val="004F73E9"/>
    <w:rsid w:val="004F7593"/>
    <w:rsid w:val="004F7F5A"/>
    <w:rsid w:val="005359B6"/>
    <w:rsid w:val="005402F9"/>
    <w:rsid w:val="0054252B"/>
    <w:rsid w:val="00573A9F"/>
    <w:rsid w:val="00590EA3"/>
    <w:rsid w:val="005C3B4F"/>
    <w:rsid w:val="005C50E6"/>
    <w:rsid w:val="005F20DB"/>
    <w:rsid w:val="00631FB9"/>
    <w:rsid w:val="00640CA1"/>
    <w:rsid w:val="00670DAB"/>
    <w:rsid w:val="00681F4B"/>
    <w:rsid w:val="0068387C"/>
    <w:rsid w:val="006C577F"/>
    <w:rsid w:val="006D6D4F"/>
    <w:rsid w:val="0072272E"/>
    <w:rsid w:val="00723729"/>
    <w:rsid w:val="00771D44"/>
    <w:rsid w:val="007746FA"/>
    <w:rsid w:val="00794D9F"/>
    <w:rsid w:val="007A1AAD"/>
    <w:rsid w:val="007C74B0"/>
    <w:rsid w:val="00821F5C"/>
    <w:rsid w:val="00826D4F"/>
    <w:rsid w:val="0084057E"/>
    <w:rsid w:val="008629AD"/>
    <w:rsid w:val="0086472D"/>
    <w:rsid w:val="008677BE"/>
    <w:rsid w:val="008808AA"/>
    <w:rsid w:val="008A7A59"/>
    <w:rsid w:val="008B1461"/>
    <w:rsid w:val="008E18C3"/>
    <w:rsid w:val="009120DE"/>
    <w:rsid w:val="00935CB8"/>
    <w:rsid w:val="009A3304"/>
    <w:rsid w:val="009A5ED1"/>
    <w:rsid w:val="00A11959"/>
    <w:rsid w:val="00A25B0A"/>
    <w:rsid w:val="00A30CD1"/>
    <w:rsid w:val="00A32889"/>
    <w:rsid w:val="00AB10F3"/>
    <w:rsid w:val="00AB1D40"/>
    <w:rsid w:val="00AC3DBB"/>
    <w:rsid w:val="00AD5BE6"/>
    <w:rsid w:val="00AF288B"/>
    <w:rsid w:val="00AF42A9"/>
    <w:rsid w:val="00B35302"/>
    <w:rsid w:val="00B544FE"/>
    <w:rsid w:val="00BA0BA3"/>
    <w:rsid w:val="00BA141C"/>
    <w:rsid w:val="00BC3465"/>
    <w:rsid w:val="00BD5E8A"/>
    <w:rsid w:val="00C2244A"/>
    <w:rsid w:val="00C561B1"/>
    <w:rsid w:val="00C63E5E"/>
    <w:rsid w:val="00C672B9"/>
    <w:rsid w:val="00C86D27"/>
    <w:rsid w:val="00CB375D"/>
    <w:rsid w:val="00CD4CEB"/>
    <w:rsid w:val="00D00876"/>
    <w:rsid w:val="00D04140"/>
    <w:rsid w:val="00D10BE8"/>
    <w:rsid w:val="00D34955"/>
    <w:rsid w:val="00D50A30"/>
    <w:rsid w:val="00D52B3A"/>
    <w:rsid w:val="00D75172"/>
    <w:rsid w:val="00D84930"/>
    <w:rsid w:val="00D90A35"/>
    <w:rsid w:val="00D96258"/>
    <w:rsid w:val="00DA132C"/>
    <w:rsid w:val="00DA5C02"/>
    <w:rsid w:val="00DE63BC"/>
    <w:rsid w:val="00E063DA"/>
    <w:rsid w:val="00E56421"/>
    <w:rsid w:val="00ED79D9"/>
    <w:rsid w:val="00EE70AD"/>
    <w:rsid w:val="00F16710"/>
    <w:rsid w:val="00F31295"/>
    <w:rsid w:val="00F313A4"/>
    <w:rsid w:val="00F65CA6"/>
    <w:rsid w:val="00F8744C"/>
    <w:rsid w:val="00FA59EE"/>
    <w:rsid w:val="00FA75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B0699F"/>
  <w15:docId w15:val="{063B213F-B28D-468F-A3C2-A946A63D92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57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808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03831"/>
    <w:pPr>
      <w:tabs>
        <w:tab w:val="center" w:pos="4513"/>
        <w:tab w:val="right" w:pos="9026"/>
      </w:tabs>
      <w:spacing w:after="0" w:line="240" w:lineRule="auto"/>
    </w:pPr>
  </w:style>
  <w:style w:type="character" w:customStyle="1" w:styleId="HeaderChar">
    <w:name w:val="Header Char"/>
    <w:basedOn w:val="DefaultParagraphFont"/>
    <w:link w:val="Header"/>
    <w:uiPriority w:val="99"/>
    <w:rsid w:val="00403831"/>
  </w:style>
  <w:style w:type="paragraph" w:styleId="Footer">
    <w:name w:val="footer"/>
    <w:basedOn w:val="Normal"/>
    <w:link w:val="FooterChar"/>
    <w:uiPriority w:val="99"/>
    <w:unhideWhenUsed/>
    <w:rsid w:val="00403831"/>
    <w:pPr>
      <w:tabs>
        <w:tab w:val="center" w:pos="4513"/>
        <w:tab w:val="right" w:pos="9026"/>
      </w:tabs>
      <w:spacing w:after="0" w:line="240" w:lineRule="auto"/>
    </w:pPr>
  </w:style>
  <w:style w:type="character" w:customStyle="1" w:styleId="FooterChar">
    <w:name w:val="Footer Char"/>
    <w:basedOn w:val="DefaultParagraphFont"/>
    <w:link w:val="Footer"/>
    <w:uiPriority w:val="99"/>
    <w:rsid w:val="00403831"/>
  </w:style>
  <w:style w:type="paragraph" w:styleId="NormalWeb">
    <w:name w:val="Normal (Web)"/>
    <w:basedOn w:val="Normal"/>
    <w:uiPriority w:val="99"/>
    <w:semiHidden/>
    <w:unhideWhenUsed/>
    <w:rsid w:val="004C5A7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F511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1173"/>
    <w:rPr>
      <w:rFonts w:ascii="Tahoma" w:hAnsi="Tahoma" w:cs="Tahoma"/>
      <w:sz w:val="16"/>
      <w:szCs w:val="16"/>
    </w:rPr>
  </w:style>
  <w:style w:type="character" w:styleId="CommentReference">
    <w:name w:val="annotation reference"/>
    <w:basedOn w:val="DefaultParagraphFont"/>
    <w:uiPriority w:val="99"/>
    <w:semiHidden/>
    <w:unhideWhenUsed/>
    <w:rsid w:val="00F51173"/>
    <w:rPr>
      <w:sz w:val="16"/>
      <w:szCs w:val="16"/>
    </w:rPr>
  </w:style>
  <w:style w:type="paragraph" w:styleId="CommentText">
    <w:name w:val="annotation text"/>
    <w:basedOn w:val="Normal"/>
    <w:link w:val="CommentTextChar"/>
    <w:uiPriority w:val="99"/>
    <w:unhideWhenUsed/>
    <w:rsid w:val="00F51173"/>
    <w:pPr>
      <w:spacing w:line="240" w:lineRule="auto"/>
    </w:pPr>
    <w:rPr>
      <w:sz w:val="20"/>
      <w:szCs w:val="20"/>
    </w:rPr>
  </w:style>
  <w:style w:type="character" w:customStyle="1" w:styleId="CommentTextChar">
    <w:name w:val="Comment Text Char"/>
    <w:basedOn w:val="DefaultParagraphFont"/>
    <w:link w:val="CommentText"/>
    <w:uiPriority w:val="99"/>
    <w:rsid w:val="00F51173"/>
    <w:rPr>
      <w:sz w:val="20"/>
      <w:szCs w:val="20"/>
    </w:rPr>
  </w:style>
  <w:style w:type="paragraph" w:styleId="CommentSubject">
    <w:name w:val="annotation subject"/>
    <w:basedOn w:val="CommentText"/>
    <w:next w:val="CommentText"/>
    <w:link w:val="CommentSubjectChar"/>
    <w:uiPriority w:val="99"/>
    <w:semiHidden/>
    <w:unhideWhenUsed/>
    <w:rsid w:val="00F51173"/>
    <w:rPr>
      <w:b/>
      <w:bCs/>
    </w:rPr>
  </w:style>
  <w:style w:type="character" w:customStyle="1" w:styleId="CommentSubjectChar">
    <w:name w:val="Comment Subject Char"/>
    <w:basedOn w:val="CommentTextChar"/>
    <w:link w:val="CommentSubject"/>
    <w:uiPriority w:val="99"/>
    <w:semiHidden/>
    <w:rsid w:val="00F51173"/>
    <w:rPr>
      <w:b/>
      <w:bCs/>
      <w:sz w:val="20"/>
      <w:szCs w:val="20"/>
    </w:rPr>
  </w:style>
  <w:style w:type="paragraph" w:styleId="Revision">
    <w:name w:val="Revision"/>
    <w:hidden/>
    <w:uiPriority w:val="99"/>
    <w:semiHidden/>
    <w:rsid w:val="00AC3DB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microsoft.com/office/2018/08/relationships/commentsExtensible" Target="commentsExtensible.xml"/><Relationship Id="rId18" Type="http://schemas.openxmlformats.org/officeDocument/2006/relationships/chart" Target="charts/chart7.xml"/><Relationship Id="rId26" Type="http://schemas.openxmlformats.org/officeDocument/2006/relationships/chart" Target="charts/chart14.xml"/><Relationship Id="rId3" Type="http://schemas.openxmlformats.org/officeDocument/2006/relationships/settings" Target="settings.xml"/><Relationship Id="rId21" Type="http://schemas.openxmlformats.org/officeDocument/2006/relationships/footer" Target="footer1.xml"/><Relationship Id="rId34" Type="http://schemas.openxmlformats.org/officeDocument/2006/relationships/theme" Target="theme/theme1.xml"/><Relationship Id="rId7" Type="http://schemas.openxmlformats.org/officeDocument/2006/relationships/image" Target="media/image1.jpeg"/><Relationship Id="rId12" Type="http://schemas.microsoft.com/office/2016/09/relationships/commentsIds" Target="commentsIds.xml"/><Relationship Id="rId17" Type="http://schemas.openxmlformats.org/officeDocument/2006/relationships/chart" Target="charts/chart6.xml"/><Relationship Id="rId25" Type="http://schemas.openxmlformats.org/officeDocument/2006/relationships/chart" Target="charts/chart13.xml"/><Relationship Id="rId33" Type="http://schemas.microsoft.com/office/2011/relationships/people" Target="people.xml"/><Relationship Id="rId2" Type="http://schemas.openxmlformats.org/officeDocument/2006/relationships/styles" Target="styles.xml"/><Relationship Id="rId16" Type="http://schemas.openxmlformats.org/officeDocument/2006/relationships/chart" Target="charts/chart5.xml"/><Relationship Id="rId20" Type="http://schemas.openxmlformats.org/officeDocument/2006/relationships/chart" Target="charts/chart9.xml"/><Relationship Id="rId29" Type="http://schemas.openxmlformats.org/officeDocument/2006/relationships/chart" Target="charts/chart17.xml"/><Relationship Id="rId1" Type="http://schemas.openxmlformats.org/officeDocument/2006/relationships/customXml" Target="../customXml/item1.xml"/><Relationship Id="rId6" Type="http://schemas.openxmlformats.org/officeDocument/2006/relationships/endnotes" Target="endnotes.xml"/><Relationship Id="rId11" Type="http://schemas.microsoft.com/office/2011/relationships/commentsExtended" Target="commentsExtended.xml"/><Relationship Id="rId24" Type="http://schemas.openxmlformats.org/officeDocument/2006/relationships/chart" Target="charts/chart12.xm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chart" Target="charts/chart11.xml"/><Relationship Id="rId28" Type="http://schemas.openxmlformats.org/officeDocument/2006/relationships/chart" Target="charts/chart16.xml"/><Relationship Id="rId10" Type="http://schemas.openxmlformats.org/officeDocument/2006/relationships/comments" Target="comments.xml"/><Relationship Id="rId19" Type="http://schemas.openxmlformats.org/officeDocument/2006/relationships/chart" Target="charts/chart8.xml"/><Relationship Id="rId31" Type="http://schemas.openxmlformats.org/officeDocument/2006/relationships/chart" Target="charts/chart19.xml"/><Relationship Id="rId4" Type="http://schemas.openxmlformats.org/officeDocument/2006/relationships/webSettings" Target="webSettings.xml"/><Relationship Id="rId9" Type="http://schemas.openxmlformats.org/officeDocument/2006/relationships/chart" Target="charts/chart2.xml"/><Relationship Id="rId14" Type="http://schemas.openxmlformats.org/officeDocument/2006/relationships/chart" Target="charts/chart3.xml"/><Relationship Id="rId22" Type="http://schemas.openxmlformats.org/officeDocument/2006/relationships/chart" Target="charts/chart10.xml"/><Relationship Id="rId27" Type="http://schemas.openxmlformats.org/officeDocument/2006/relationships/chart" Target="charts/chart15.xml"/><Relationship Id="rId30" Type="http://schemas.openxmlformats.org/officeDocument/2006/relationships/chart" Target="charts/chart18.xml"/><Relationship Id="rId8"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037687874526628E-2"/>
          <c:y val="2.7251698176747899E-2"/>
          <c:w val="0.93295665692096541"/>
          <c:h val="0.82156593637350628"/>
        </c:manualLayout>
      </c:layout>
      <c:barChart>
        <c:barDir val="col"/>
        <c:grouping val="clustered"/>
        <c:varyColors val="0"/>
        <c:ser>
          <c:idx val="3"/>
          <c:order val="3"/>
          <c:tx>
            <c:strRef>
              <c:f>'Further Analysis Sheet'!$C$7</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Sheet'!$D$7:$O$7</c:f>
              <c:numCache>
                <c:formatCode>General</c:formatCode>
                <c:ptCount val="12"/>
                <c:pt idx="0">
                  <c:v>1498</c:v>
                </c:pt>
                <c:pt idx="1">
                  <c:v>1845</c:v>
                </c:pt>
                <c:pt idx="2">
                  <c:v>1841</c:v>
                </c:pt>
                <c:pt idx="3">
                  <c:v>1972</c:v>
                </c:pt>
                <c:pt idx="4">
                  <c:v>2100</c:v>
                </c:pt>
                <c:pt idx="5">
                  <c:v>1627</c:v>
                </c:pt>
                <c:pt idx="6">
                  <c:v>0</c:v>
                </c:pt>
                <c:pt idx="7">
                  <c:v>0</c:v>
                </c:pt>
                <c:pt idx="8">
                  <c:v>0</c:v>
                </c:pt>
                <c:pt idx="9">
                  <c:v>0</c:v>
                </c:pt>
                <c:pt idx="10">
                  <c:v>0</c:v>
                </c:pt>
                <c:pt idx="11">
                  <c:v>0</c:v>
                </c:pt>
              </c:numCache>
            </c:numRef>
          </c:val>
          <c:extLst>
            <c:ext xmlns:c16="http://schemas.microsoft.com/office/drawing/2014/chart" uri="{C3380CC4-5D6E-409C-BE32-E72D297353CC}">
              <c16:uniqueId val="{00000000-9FAC-42A7-BEFA-17BEEB6DC7CC}"/>
            </c:ext>
          </c:extLst>
        </c:ser>
        <c:dLbls>
          <c:showLegendKey val="0"/>
          <c:showVal val="0"/>
          <c:showCatName val="0"/>
          <c:showSerName val="0"/>
          <c:showPercent val="0"/>
          <c:showBubbleSize val="0"/>
        </c:dLbls>
        <c:gapWidth val="60"/>
        <c:axId val="248578536"/>
        <c:axId val="248578928"/>
      </c:barChart>
      <c:lineChart>
        <c:grouping val="standard"/>
        <c:varyColors val="0"/>
        <c:ser>
          <c:idx val="2"/>
          <c:order val="2"/>
          <c:tx>
            <c:strRef>
              <c:f>'Further Analysis Sheet'!$C$6</c:f>
              <c:strCache>
                <c:ptCount val="1"/>
                <c:pt idx="0">
                  <c:v>Previous Year</c:v>
                </c:pt>
              </c:strCache>
            </c:strRef>
          </c:tx>
          <c:spPr>
            <a:ln>
              <a:solidFill>
                <a:srgbClr val="0070C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Sheet'!$D$6:$O$6</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1-9FAC-42A7-BEFA-17BEEB6DC7CC}"/>
            </c:ext>
          </c:extLst>
        </c:ser>
        <c:dLbls>
          <c:showLegendKey val="0"/>
          <c:showVal val="0"/>
          <c:showCatName val="0"/>
          <c:showSerName val="0"/>
          <c:showPercent val="0"/>
          <c:showBubbleSize val="0"/>
        </c:dLbls>
        <c:marker val="1"/>
        <c:smooth val="0"/>
        <c:axId val="248578536"/>
        <c:axId val="248578928"/>
        <c:extLst>
          <c:ext xmlns:c15="http://schemas.microsoft.com/office/drawing/2012/chart" uri="{02D57815-91ED-43cb-92C2-25804820EDAC}">
            <c15:filteredLineSeries>
              <c15:ser>
                <c:idx val="0"/>
                <c:order val="0"/>
                <c:tx>
                  <c:strRef>
                    <c:extLst>
                      <c:ext uri="{02D57815-91ED-43cb-92C2-25804820EDAC}">
                        <c15:formulaRef>
                          <c15:sqref>'Further Analysis Sheet'!$C$4</c15:sqref>
                        </c15:formulaRef>
                      </c:ext>
                    </c:extLst>
                    <c:strCache>
                      <c:ptCount val="1"/>
                    </c:strCache>
                  </c:strRef>
                </c:tx>
                <c:spPr>
                  <a:ln>
                    <a:solidFill>
                      <a:srgbClr val="00B050"/>
                    </a:solidFill>
                  </a:ln>
                </c:spPr>
                <c:marker>
                  <c:symbol val="none"/>
                </c:marker>
                <c:cat>
                  <c:strRef>
                    <c:extLst>
                      <c:ext uri="{02D57815-91ED-43cb-92C2-25804820EDAC}">
                        <c15:formulaRef>
                          <c15:sqref>'Further Analysis Sheet'!$D$3:$O$3</c15:sqref>
                        </c15:formulaRef>
                      </c:ext>
                    </c:extLst>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extLst>
                      <c:ext uri="{02D57815-91ED-43cb-92C2-25804820EDAC}">
                        <c15:formulaRef>
                          <c15:sqref>'Further Analysis Sheet'!$D$4:$O$4</c15:sqref>
                        </c15:formulaRef>
                      </c:ext>
                    </c:extLst>
                    <c:numCache>
                      <c:formatCode>General</c:formatCode>
                      <c:ptCount val="12"/>
                    </c:numCache>
                  </c:numRef>
                </c:val>
                <c:smooth val="0"/>
                <c:extLst>
                  <c:ext xmlns:c16="http://schemas.microsoft.com/office/drawing/2014/chart" uri="{C3380CC4-5D6E-409C-BE32-E72D297353CC}">
                    <c16:uniqueId val="{00000002-9FAC-42A7-BEFA-17BEEB6DC7CC}"/>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'Further Analysis Sheet'!$C$5</c15:sqref>
                        </c15:formulaRef>
                      </c:ext>
                    </c:extLst>
                    <c:strCache>
                      <c:ptCount val="1"/>
                    </c:strCache>
                  </c:strRef>
                </c:tx>
                <c:spPr>
                  <a:ln>
                    <a:prstDash val="solid"/>
                  </a:ln>
                </c:spPr>
                <c:marker>
                  <c:symbol val="none"/>
                </c:marker>
                <c:cat>
                  <c:strRef>
                    <c:extLst xmlns:c15="http://schemas.microsoft.com/office/drawing/2012/chart">
                      <c:ext xmlns:c15="http://schemas.microsoft.com/office/drawing/2012/chart" uri="{02D57815-91ED-43cb-92C2-25804820EDAC}">
                        <c15:formulaRef>
                          <c15:sqref>'Further Analysis Sheet'!$D$3:$O$3</c15:sqref>
                        </c15:formulaRef>
                      </c:ext>
                    </c:extLst>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extLst xmlns:c15="http://schemas.microsoft.com/office/drawing/2012/chart">
                      <c:ext xmlns:c15="http://schemas.microsoft.com/office/drawing/2012/chart" uri="{02D57815-91ED-43cb-92C2-25804820EDAC}">
                        <c15:formulaRef>
                          <c15:sqref>'Further Analysis Sheet'!$D$5:$O$5</c15:sqref>
                        </c15:formulaRef>
                      </c:ext>
                    </c:extLst>
                    <c:numCache>
                      <c:formatCode>General</c:formatCode>
                      <c:ptCount val="12"/>
                    </c:numCache>
                  </c:numRef>
                </c:val>
                <c:smooth val="0"/>
                <c:extLst xmlns:c15="http://schemas.microsoft.com/office/drawing/2012/chart">
                  <c:ext xmlns:c16="http://schemas.microsoft.com/office/drawing/2014/chart" uri="{C3380CC4-5D6E-409C-BE32-E72D297353CC}">
                    <c16:uniqueId val="{00000003-9FAC-42A7-BEFA-17BEEB6DC7CC}"/>
                  </c:ext>
                </c:extLst>
              </c15:ser>
            </c15:filteredLineSeries>
          </c:ext>
        </c:extLst>
      </c:lineChart>
      <c:catAx>
        <c:axId val="248578536"/>
        <c:scaling>
          <c:orientation val="minMax"/>
        </c:scaling>
        <c:delete val="0"/>
        <c:axPos val="b"/>
        <c:numFmt formatCode="General" sourceLinked="0"/>
        <c:majorTickMark val="out"/>
        <c:minorTickMark val="none"/>
        <c:tickLblPos val="nextTo"/>
        <c:txPr>
          <a:bodyPr/>
          <a:lstStyle/>
          <a:p>
            <a:pPr>
              <a:defRPr sz="800"/>
            </a:pPr>
            <a:endParaRPr lang="en-US"/>
          </a:p>
        </c:txPr>
        <c:crossAx val="248578928"/>
        <c:crosses val="autoZero"/>
        <c:auto val="1"/>
        <c:lblAlgn val="ctr"/>
        <c:lblOffset val="100"/>
        <c:noMultiLvlLbl val="0"/>
      </c:catAx>
      <c:valAx>
        <c:axId val="248578928"/>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48578536"/>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0284379209736688E-2"/>
          <c:y val="4.223531432765662E-2"/>
          <c:w val="0.95971562079026329"/>
          <c:h val="0.79443884841528267"/>
        </c:manualLayout>
      </c:layout>
      <c:barChart>
        <c:barDir val="col"/>
        <c:grouping val="clustered"/>
        <c:varyColors val="0"/>
        <c:ser>
          <c:idx val="3"/>
          <c:order val="3"/>
          <c:tx>
            <c:strRef>
              <c:f>'Further Analysis Sheet'!$C$67</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Sheet'!$D$63:$O$63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Sheet'!$D$67:$O$67</c:f>
              <c:numCache>
                <c:formatCode>General</c:formatCode>
                <c:ptCount val="12"/>
                <c:pt idx="0">
                  <c:v>14</c:v>
                </c:pt>
                <c:pt idx="1">
                  <c:v>10</c:v>
                </c:pt>
                <c:pt idx="2">
                  <c:v>2</c:v>
                </c:pt>
                <c:pt idx="3">
                  <c:v>6</c:v>
                </c:pt>
                <c:pt idx="4">
                  <c:v>8</c:v>
                </c:pt>
                <c:pt idx="5">
                  <c:v>7</c:v>
                </c:pt>
                <c:pt idx="6">
                  <c:v>0</c:v>
                </c:pt>
                <c:pt idx="7">
                  <c:v>0</c:v>
                </c:pt>
                <c:pt idx="8">
                  <c:v>0</c:v>
                </c:pt>
                <c:pt idx="9">
                  <c:v>0</c:v>
                </c:pt>
                <c:pt idx="10">
                  <c:v>0</c:v>
                </c:pt>
                <c:pt idx="11">
                  <c:v>0</c:v>
                </c:pt>
              </c:numCache>
            </c:numRef>
          </c:val>
          <c:extLst>
            <c:ext xmlns:c16="http://schemas.microsoft.com/office/drawing/2014/chart" uri="{C3380CC4-5D6E-409C-BE32-E72D297353CC}">
              <c16:uniqueId val="{00000000-F823-4B54-A3EA-30EAB98348EA}"/>
            </c:ext>
          </c:extLst>
        </c:ser>
        <c:dLbls>
          <c:showLegendKey val="0"/>
          <c:showVal val="0"/>
          <c:showCatName val="0"/>
          <c:showSerName val="0"/>
          <c:showPercent val="0"/>
          <c:showBubbleSize val="0"/>
        </c:dLbls>
        <c:gapWidth val="60"/>
        <c:axId val="249084112"/>
        <c:axId val="249084504"/>
      </c:barChart>
      <c:lineChart>
        <c:grouping val="standard"/>
        <c:varyColors val="0"/>
        <c:ser>
          <c:idx val="0"/>
          <c:order val="0"/>
          <c:tx>
            <c:strRef>
              <c:f>'Further Analysis Sheet'!$C$64</c:f>
              <c:strCache>
                <c:ptCount val="1"/>
                <c:pt idx="0">
                  <c:v>Target</c:v>
                </c:pt>
              </c:strCache>
            </c:strRef>
          </c:tx>
          <c:spPr>
            <a:ln>
              <a:solidFill>
                <a:srgbClr val="00B050"/>
              </a:solidFill>
            </a:ln>
          </c:spPr>
          <c:marker>
            <c:symbol val="none"/>
          </c:marker>
          <c:cat>
            <c:strRef>
              <c:f>'Further Analysis Sheet'!$D$63:$O$63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Sheet'!$D$64:$O$64</c:f>
              <c:numCache>
                <c:formatCode>General</c:formatCode>
                <c:ptCount val="12"/>
                <c:pt idx="0">
                  <c:v>9</c:v>
                </c:pt>
                <c:pt idx="1">
                  <c:v>13</c:v>
                </c:pt>
                <c:pt idx="2">
                  <c:v>9</c:v>
                </c:pt>
                <c:pt idx="3">
                  <c:v>12</c:v>
                </c:pt>
                <c:pt idx="4">
                  <c:v>11</c:v>
                </c:pt>
                <c:pt idx="5">
                  <c:v>8</c:v>
                </c:pt>
                <c:pt idx="6">
                  <c:v>12</c:v>
                </c:pt>
                <c:pt idx="7">
                  <c:v>12</c:v>
                </c:pt>
                <c:pt idx="8">
                  <c:v>9</c:v>
                </c:pt>
                <c:pt idx="9">
                  <c:v>9</c:v>
                </c:pt>
                <c:pt idx="10">
                  <c:v>9</c:v>
                </c:pt>
                <c:pt idx="11">
                  <c:v>9</c:v>
                </c:pt>
              </c:numCache>
            </c:numRef>
          </c:val>
          <c:smooth val="0"/>
          <c:extLst>
            <c:ext xmlns:c16="http://schemas.microsoft.com/office/drawing/2014/chart" uri="{C3380CC4-5D6E-409C-BE32-E72D297353CC}">
              <c16:uniqueId val="{00000001-F823-4B54-A3EA-30EAB98348EA}"/>
            </c:ext>
          </c:extLst>
        </c:ser>
        <c:ser>
          <c:idx val="1"/>
          <c:order val="1"/>
          <c:tx>
            <c:strRef>
              <c:f>'Further Analysis Sheet'!$C$65</c:f>
              <c:strCache>
                <c:ptCount val="1"/>
                <c:pt idx="0">
                  <c:v>Target +10%</c:v>
                </c:pt>
              </c:strCache>
            </c:strRef>
          </c:tx>
          <c:spPr>
            <a:ln>
              <a:solidFill>
                <a:srgbClr val="C00000"/>
              </a:solidFill>
            </a:ln>
          </c:spPr>
          <c:marker>
            <c:symbol val="none"/>
          </c:marker>
          <c:cat>
            <c:strRef>
              <c:f>'Further Analysis Sheet'!$D$63:$O$63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Sheet'!$D$65:$O$65</c:f>
              <c:numCache>
                <c:formatCode>General</c:formatCode>
                <c:ptCount val="12"/>
                <c:pt idx="0">
                  <c:v>9.9</c:v>
                </c:pt>
                <c:pt idx="1">
                  <c:v>14.3</c:v>
                </c:pt>
                <c:pt idx="2">
                  <c:v>9.9</c:v>
                </c:pt>
                <c:pt idx="3">
                  <c:v>13.200000000000001</c:v>
                </c:pt>
                <c:pt idx="4">
                  <c:v>12.100000000000001</c:v>
                </c:pt>
                <c:pt idx="5">
                  <c:v>8.8000000000000007</c:v>
                </c:pt>
                <c:pt idx="6">
                  <c:v>13.200000000000001</c:v>
                </c:pt>
                <c:pt idx="7">
                  <c:v>13.200000000000001</c:v>
                </c:pt>
                <c:pt idx="8">
                  <c:v>9.9</c:v>
                </c:pt>
                <c:pt idx="9">
                  <c:v>9.9</c:v>
                </c:pt>
                <c:pt idx="10">
                  <c:v>9.9</c:v>
                </c:pt>
                <c:pt idx="11">
                  <c:v>9.9</c:v>
                </c:pt>
              </c:numCache>
            </c:numRef>
          </c:val>
          <c:smooth val="0"/>
          <c:extLst>
            <c:ext xmlns:c16="http://schemas.microsoft.com/office/drawing/2014/chart" uri="{C3380CC4-5D6E-409C-BE32-E72D297353CC}">
              <c16:uniqueId val="{00000002-F823-4B54-A3EA-30EAB98348EA}"/>
            </c:ext>
          </c:extLst>
        </c:ser>
        <c:ser>
          <c:idx val="2"/>
          <c:order val="2"/>
          <c:tx>
            <c:strRef>
              <c:f>'Further Analysis Sheet'!$C$66</c:f>
              <c:strCache>
                <c:ptCount val="1"/>
                <c:pt idx="0">
                  <c:v>Target -10%</c:v>
                </c:pt>
              </c:strCache>
            </c:strRef>
          </c:tx>
          <c:spPr>
            <a:ln>
              <a:solidFill>
                <a:srgbClr val="7030A0"/>
              </a:solidFill>
            </a:ln>
          </c:spPr>
          <c:marker>
            <c:symbol val="none"/>
          </c:marker>
          <c:cat>
            <c:strRef>
              <c:f>'Further Analysis Sheet'!$D$63:$O$63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Sheet'!$D$66:$O$66</c:f>
              <c:numCache>
                <c:formatCode>General</c:formatCode>
                <c:ptCount val="12"/>
                <c:pt idx="0">
                  <c:v>8.1</c:v>
                </c:pt>
                <c:pt idx="1">
                  <c:v>11.700000000000001</c:v>
                </c:pt>
                <c:pt idx="2">
                  <c:v>8.1</c:v>
                </c:pt>
                <c:pt idx="3">
                  <c:v>10.8</c:v>
                </c:pt>
                <c:pt idx="4">
                  <c:v>9.9</c:v>
                </c:pt>
                <c:pt idx="5">
                  <c:v>7.2</c:v>
                </c:pt>
                <c:pt idx="6">
                  <c:v>10.8</c:v>
                </c:pt>
                <c:pt idx="7">
                  <c:v>10.8</c:v>
                </c:pt>
                <c:pt idx="8">
                  <c:v>8.1</c:v>
                </c:pt>
                <c:pt idx="9">
                  <c:v>8.1</c:v>
                </c:pt>
                <c:pt idx="10">
                  <c:v>8.1</c:v>
                </c:pt>
                <c:pt idx="11">
                  <c:v>8.1</c:v>
                </c:pt>
              </c:numCache>
            </c:numRef>
          </c:val>
          <c:smooth val="0"/>
          <c:extLst>
            <c:ext xmlns:c16="http://schemas.microsoft.com/office/drawing/2014/chart" uri="{C3380CC4-5D6E-409C-BE32-E72D297353CC}">
              <c16:uniqueId val="{00000003-F823-4B54-A3EA-30EAB98348EA}"/>
            </c:ext>
          </c:extLst>
        </c:ser>
        <c:dLbls>
          <c:showLegendKey val="0"/>
          <c:showVal val="0"/>
          <c:showCatName val="0"/>
          <c:showSerName val="0"/>
          <c:showPercent val="0"/>
          <c:showBubbleSize val="0"/>
        </c:dLbls>
        <c:marker val="1"/>
        <c:smooth val="0"/>
        <c:axId val="249084112"/>
        <c:axId val="249084504"/>
      </c:lineChart>
      <c:catAx>
        <c:axId val="249084112"/>
        <c:scaling>
          <c:orientation val="minMax"/>
        </c:scaling>
        <c:delete val="0"/>
        <c:axPos val="b"/>
        <c:numFmt formatCode="General" sourceLinked="0"/>
        <c:majorTickMark val="out"/>
        <c:minorTickMark val="none"/>
        <c:tickLblPos val="nextTo"/>
        <c:txPr>
          <a:bodyPr/>
          <a:lstStyle/>
          <a:p>
            <a:pPr>
              <a:defRPr sz="800"/>
            </a:pPr>
            <a:endParaRPr lang="en-US"/>
          </a:p>
        </c:txPr>
        <c:crossAx val="249084504"/>
        <c:crosses val="autoZero"/>
        <c:auto val="1"/>
        <c:lblAlgn val="ctr"/>
        <c:lblOffset val="100"/>
        <c:noMultiLvlLbl val="0"/>
      </c:catAx>
      <c:valAx>
        <c:axId val="24908450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49084112"/>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2724076717371903E-2"/>
          <c:y val="2.7213551572323365E-2"/>
          <c:w val="0.96241169168038965"/>
          <c:h val="0.81331827429683856"/>
        </c:manualLayout>
      </c:layout>
      <c:barChart>
        <c:barDir val="col"/>
        <c:grouping val="clustered"/>
        <c:varyColors val="0"/>
        <c:ser>
          <c:idx val="3"/>
          <c:order val="3"/>
          <c:tx>
            <c:strRef>
              <c:f>'Further Analysis Sheet'!$C$72</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Sheet'!$D$68:$O$68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Sheet'!$D$72:$O$72</c:f>
              <c:numCache>
                <c:formatCode>General</c:formatCode>
                <c:ptCount val="12"/>
                <c:pt idx="0">
                  <c:v>1</c:v>
                </c:pt>
                <c:pt idx="1">
                  <c:v>2</c:v>
                </c:pt>
                <c:pt idx="2">
                  <c:v>0</c:v>
                </c:pt>
                <c:pt idx="3">
                  <c:v>0</c:v>
                </c:pt>
                <c:pt idx="4">
                  <c:v>4</c:v>
                </c:pt>
                <c:pt idx="5">
                  <c:v>1</c:v>
                </c:pt>
                <c:pt idx="6">
                  <c:v>0</c:v>
                </c:pt>
                <c:pt idx="7">
                  <c:v>0</c:v>
                </c:pt>
                <c:pt idx="8">
                  <c:v>0</c:v>
                </c:pt>
                <c:pt idx="9">
                  <c:v>0</c:v>
                </c:pt>
                <c:pt idx="10">
                  <c:v>0</c:v>
                </c:pt>
                <c:pt idx="11">
                  <c:v>0</c:v>
                </c:pt>
              </c:numCache>
            </c:numRef>
          </c:val>
          <c:extLst>
            <c:ext xmlns:c16="http://schemas.microsoft.com/office/drawing/2014/chart" uri="{C3380CC4-5D6E-409C-BE32-E72D297353CC}">
              <c16:uniqueId val="{00000000-CCF9-4FE4-B61C-ED24898DFA37}"/>
            </c:ext>
          </c:extLst>
        </c:ser>
        <c:dLbls>
          <c:showLegendKey val="0"/>
          <c:showVal val="0"/>
          <c:showCatName val="0"/>
          <c:showSerName val="0"/>
          <c:showPercent val="0"/>
          <c:showBubbleSize val="0"/>
        </c:dLbls>
        <c:gapWidth val="60"/>
        <c:axId val="249413936"/>
        <c:axId val="249414328"/>
      </c:barChart>
      <c:lineChart>
        <c:grouping val="standard"/>
        <c:varyColors val="0"/>
        <c:ser>
          <c:idx val="0"/>
          <c:order val="0"/>
          <c:tx>
            <c:strRef>
              <c:f>'Further Analysis Sheet'!$C$69</c:f>
              <c:strCache>
                <c:ptCount val="1"/>
                <c:pt idx="0">
                  <c:v>Target</c:v>
                </c:pt>
              </c:strCache>
            </c:strRef>
          </c:tx>
          <c:spPr>
            <a:ln>
              <a:solidFill>
                <a:srgbClr val="00B050"/>
              </a:solidFill>
            </a:ln>
          </c:spPr>
          <c:marker>
            <c:symbol val="none"/>
          </c:marker>
          <c:cat>
            <c:strRef>
              <c:f>'Further Analysis Sheet'!$D$68:$O$68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Sheet'!$D$69:$O$69</c:f>
              <c:numCache>
                <c:formatCode>General</c:formatCode>
                <c:ptCount val="12"/>
                <c:pt idx="0">
                  <c:v>3</c:v>
                </c:pt>
                <c:pt idx="1">
                  <c:v>3</c:v>
                </c:pt>
                <c:pt idx="2">
                  <c:v>2</c:v>
                </c:pt>
                <c:pt idx="3">
                  <c:v>2</c:v>
                </c:pt>
                <c:pt idx="4">
                  <c:v>1</c:v>
                </c:pt>
                <c:pt idx="5">
                  <c:v>1</c:v>
                </c:pt>
                <c:pt idx="6">
                  <c:v>1</c:v>
                </c:pt>
                <c:pt idx="7">
                  <c:v>1</c:v>
                </c:pt>
                <c:pt idx="8">
                  <c:v>1</c:v>
                </c:pt>
                <c:pt idx="9">
                  <c:v>1</c:v>
                </c:pt>
                <c:pt idx="10">
                  <c:v>0</c:v>
                </c:pt>
                <c:pt idx="11">
                  <c:v>2</c:v>
                </c:pt>
              </c:numCache>
            </c:numRef>
          </c:val>
          <c:smooth val="0"/>
          <c:extLst>
            <c:ext xmlns:c16="http://schemas.microsoft.com/office/drawing/2014/chart" uri="{C3380CC4-5D6E-409C-BE32-E72D297353CC}">
              <c16:uniqueId val="{00000001-CCF9-4FE4-B61C-ED24898DFA37}"/>
            </c:ext>
          </c:extLst>
        </c:ser>
        <c:ser>
          <c:idx val="1"/>
          <c:order val="1"/>
          <c:tx>
            <c:strRef>
              <c:f>'Further Analysis Sheet'!$C$70</c:f>
              <c:strCache>
                <c:ptCount val="1"/>
                <c:pt idx="0">
                  <c:v>Target +10%</c:v>
                </c:pt>
              </c:strCache>
            </c:strRef>
          </c:tx>
          <c:spPr>
            <a:ln>
              <a:solidFill>
                <a:srgbClr val="C00000"/>
              </a:solidFill>
            </a:ln>
          </c:spPr>
          <c:marker>
            <c:symbol val="none"/>
          </c:marker>
          <c:cat>
            <c:strRef>
              <c:f>'Further Analysis Sheet'!$D$68:$O$68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Sheet'!$D$70:$O$70</c:f>
              <c:numCache>
                <c:formatCode>General</c:formatCode>
                <c:ptCount val="12"/>
                <c:pt idx="0">
                  <c:v>3.3000000000000003</c:v>
                </c:pt>
                <c:pt idx="1">
                  <c:v>3.3000000000000003</c:v>
                </c:pt>
                <c:pt idx="2">
                  <c:v>2.2000000000000002</c:v>
                </c:pt>
                <c:pt idx="3">
                  <c:v>2.2000000000000002</c:v>
                </c:pt>
                <c:pt idx="4">
                  <c:v>1.1000000000000001</c:v>
                </c:pt>
                <c:pt idx="5">
                  <c:v>1.1000000000000001</c:v>
                </c:pt>
                <c:pt idx="6">
                  <c:v>1.1000000000000001</c:v>
                </c:pt>
                <c:pt idx="7">
                  <c:v>1.1000000000000001</c:v>
                </c:pt>
                <c:pt idx="8">
                  <c:v>1.1000000000000001</c:v>
                </c:pt>
                <c:pt idx="9">
                  <c:v>1.1000000000000001</c:v>
                </c:pt>
                <c:pt idx="10">
                  <c:v>0</c:v>
                </c:pt>
                <c:pt idx="11">
                  <c:v>2.2000000000000002</c:v>
                </c:pt>
              </c:numCache>
            </c:numRef>
          </c:val>
          <c:smooth val="0"/>
          <c:extLst>
            <c:ext xmlns:c16="http://schemas.microsoft.com/office/drawing/2014/chart" uri="{C3380CC4-5D6E-409C-BE32-E72D297353CC}">
              <c16:uniqueId val="{00000002-CCF9-4FE4-B61C-ED24898DFA37}"/>
            </c:ext>
          </c:extLst>
        </c:ser>
        <c:ser>
          <c:idx val="2"/>
          <c:order val="2"/>
          <c:tx>
            <c:strRef>
              <c:f>'Further Analysis Sheet'!$C$71</c:f>
              <c:strCache>
                <c:ptCount val="1"/>
                <c:pt idx="0">
                  <c:v>Target -10%</c:v>
                </c:pt>
              </c:strCache>
            </c:strRef>
          </c:tx>
          <c:spPr>
            <a:ln>
              <a:solidFill>
                <a:srgbClr val="7030A0"/>
              </a:solidFill>
            </a:ln>
          </c:spPr>
          <c:marker>
            <c:symbol val="none"/>
          </c:marker>
          <c:cat>
            <c:strRef>
              <c:f>'Further Analysis Sheet'!$D$68:$O$68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Sheet'!$D$71:$O$71</c:f>
              <c:numCache>
                <c:formatCode>General</c:formatCode>
                <c:ptCount val="12"/>
                <c:pt idx="0">
                  <c:v>2.7</c:v>
                </c:pt>
                <c:pt idx="1">
                  <c:v>2.7</c:v>
                </c:pt>
                <c:pt idx="2">
                  <c:v>1.8</c:v>
                </c:pt>
                <c:pt idx="3">
                  <c:v>1.8</c:v>
                </c:pt>
                <c:pt idx="4">
                  <c:v>0.9</c:v>
                </c:pt>
                <c:pt idx="5">
                  <c:v>0.9</c:v>
                </c:pt>
                <c:pt idx="6">
                  <c:v>0.9</c:v>
                </c:pt>
                <c:pt idx="7">
                  <c:v>0.9</c:v>
                </c:pt>
                <c:pt idx="8">
                  <c:v>0.9</c:v>
                </c:pt>
                <c:pt idx="9">
                  <c:v>0.9</c:v>
                </c:pt>
                <c:pt idx="10">
                  <c:v>0</c:v>
                </c:pt>
                <c:pt idx="11">
                  <c:v>1.8</c:v>
                </c:pt>
              </c:numCache>
            </c:numRef>
          </c:val>
          <c:smooth val="0"/>
          <c:extLst>
            <c:ext xmlns:c16="http://schemas.microsoft.com/office/drawing/2014/chart" uri="{C3380CC4-5D6E-409C-BE32-E72D297353CC}">
              <c16:uniqueId val="{00000003-CCF9-4FE4-B61C-ED24898DFA37}"/>
            </c:ext>
          </c:extLst>
        </c:ser>
        <c:dLbls>
          <c:showLegendKey val="0"/>
          <c:showVal val="0"/>
          <c:showCatName val="0"/>
          <c:showSerName val="0"/>
          <c:showPercent val="0"/>
          <c:showBubbleSize val="0"/>
        </c:dLbls>
        <c:marker val="1"/>
        <c:smooth val="0"/>
        <c:axId val="249413936"/>
        <c:axId val="249414328"/>
      </c:lineChart>
      <c:catAx>
        <c:axId val="249413936"/>
        <c:scaling>
          <c:orientation val="minMax"/>
        </c:scaling>
        <c:delete val="0"/>
        <c:axPos val="b"/>
        <c:numFmt formatCode="General" sourceLinked="0"/>
        <c:majorTickMark val="out"/>
        <c:minorTickMark val="none"/>
        <c:tickLblPos val="nextTo"/>
        <c:txPr>
          <a:bodyPr/>
          <a:lstStyle/>
          <a:p>
            <a:pPr>
              <a:defRPr sz="800"/>
            </a:pPr>
            <a:endParaRPr lang="en-US"/>
          </a:p>
        </c:txPr>
        <c:crossAx val="249414328"/>
        <c:crosses val="autoZero"/>
        <c:auto val="1"/>
        <c:lblAlgn val="ctr"/>
        <c:lblOffset val="100"/>
        <c:noMultiLvlLbl val="0"/>
      </c:catAx>
      <c:valAx>
        <c:axId val="249414328"/>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49413936"/>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135161332193786E-2"/>
          <c:y val="3.72769722098589E-2"/>
          <c:w val="0.93743436213055276"/>
          <c:h val="0.79773556029265935"/>
        </c:manualLayout>
      </c:layout>
      <c:barChart>
        <c:barDir val="col"/>
        <c:grouping val="clustered"/>
        <c:varyColors val="0"/>
        <c:ser>
          <c:idx val="3"/>
          <c:order val="3"/>
          <c:tx>
            <c:strRef>
              <c:f>'Further Analysis Sheet'!$C$27</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Sheet'!$D$23:$O$23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Sheet'!$D$27:$O$27</c:f>
              <c:numCache>
                <c:formatCode>General</c:formatCode>
                <c:ptCount val="12"/>
                <c:pt idx="0">
                  <c:v>243</c:v>
                </c:pt>
                <c:pt idx="1">
                  <c:v>291</c:v>
                </c:pt>
                <c:pt idx="2">
                  <c:v>360</c:v>
                </c:pt>
                <c:pt idx="3">
                  <c:v>339</c:v>
                </c:pt>
                <c:pt idx="4">
                  <c:v>425</c:v>
                </c:pt>
                <c:pt idx="5">
                  <c:v>215</c:v>
                </c:pt>
                <c:pt idx="6">
                  <c:v>0</c:v>
                </c:pt>
                <c:pt idx="7">
                  <c:v>0</c:v>
                </c:pt>
                <c:pt idx="8">
                  <c:v>0</c:v>
                </c:pt>
                <c:pt idx="9">
                  <c:v>0</c:v>
                </c:pt>
                <c:pt idx="10">
                  <c:v>0</c:v>
                </c:pt>
                <c:pt idx="11">
                  <c:v>0</c:v>
                </c:pt>
              </c:numCache>
            </c:numRef>
          </c:val>
          <c:extLst>
            <c:ext xmlns:c16="http://schemas.microsoft.com/office/drawing/2014/chart" uri="{C3380CC4-5D6E-409C-BE32-E72D297353CC}">
              <c16:uniqueId val="{00000000-AEE4-4B4B-B7CF-6F68A122666B}"/>
            </c:ext>
          </c:extLst>
        </c:ser>
        <c:dLbls>
          <c:showLegendKey val="0"/>
          <c:showVal val="0"/>
          <c:showCatName val="0"/>
          <c:showSerName val="0"/>
          <c:showPercent val="0"/>
          <c:showBubbleSize val="0"/>
        </c:dLbls>
        <c:gapWidth val="60"/>
        <c:axId val="223248592"/>
        <c:axId val="223248200"/>
      </c:barChart>
      <c:lineChart>
        <c:grouping val="standard"/>
        <c:varyColors val="0"/>
        <c:ser>
          <c:idx val="0"/>
          <c:order val="0"/>
          <c:tx>
            <c:strRef>
              <c:f>'Further Analysis Sheet'!$C$24</c:f>
              <c:strCache>
                <c:ptCount val="1"/>
                <c:pt idx="0">
                  <c:v>Target</c:v>
                </c:pt>
              </c:strCache>
            </c:strRef>
          </c:tx>
          <c:spPr>
            <a:ln>
              <a:solidFill>
                <a:srgbClr val="00B050"/>
              </a:solidFill>
            </a:ln>
          </c:spPr>
          <c:marker>
            <c:symbol val="none"/>
          </c:marker>
          <c:cat>
            <c:strRef>
              <c:f>'Further Analysis Sheet'!$D$23:$O$23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Sheet'!$D$24:$O$24</c:f>
              <c:numCache>
                <c:formatCode>General</c:formatCode>
                <c:ptCount val="12"/>
                <c:pt idx="0">
                  <c:v>615</c:v>
                </c:pt>
                <c:pt idx="1">
                  <c:v>554</c:v>
                </c:pt>
                <c:pt idx="2">
                  <c:v>560</c:v>
                </c:pt>
                <c:pt idx="3">
                  <c:v>701</c:v>
                </c:pt>
                <c:pt idx="4">
                  <c:v>527</c:v>
                </c:pt>
                <c:pt idx="5">
                  <c:v>398</c:v>
                </c:pt>
                <c:pt idx="6">
                  <c:v>343</c:v>
                </c:pt>
                <c:pt idx="7">
                  <c:v>410</c:v>
                </c:pt>
                <c:pt idx="8">
                  <c:v>198</c:v>
                </c:pt>
                <c:pt idx="9">
                  <c:v>227</c:v>
                </c:pt>
                <c:pt idx="10">
                  <c:v>262</c:v>
                </c:pt>
                <c:pt idx="11">
                  <c:v>391</c:v>
                </c:pt>
              </c:numCache>
            </c:numRef>
          </c:val>
          <c:smooth val="0"/>
          <c:extLst>
            <c:ext xmlns:c16="http://schemas.microsoft.com/office/drawing/2014/chart" uri="{C3380CC4-5D6E-409C-BE32-E72D297353CC}">
              <c16:uniqueId val="{00000001-AEE4-4B4B-B7CF-6F68A122666B}"/>
            </c:ext>
          </c:extLst>
        </c:ser>
        <c:ser>
          <c:idx val="1"/>
          <c:order val="1"/>
          <c:tx>
            <c:strRef>
              <c:f>'Further Analysis Sheet'!$C$25</c:f>
              <c:strCache>
                <c:ptCount val="1"/>
                <c:pt idx="0">
                  <c:v>Target +10%</c:v>
                </c:pt>
              </c:strCache>
            </c:strRef>
          </c:tx>
          <c:spPr>
            <a:ln>
              <a:solidFill>
                <a:srgbClr val="C00000"/>
              </a:solidFill>
            </a:ln>
          </c:spPr>
          <c:marker>
            <c:symbol val="none"/>
          </c:marker>
          <c:cat>
            <c:strRef>
              <c:f>'Further Analysis Sheet'!$D$23:$O$23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Sheet'!$D$25:$O$25</c:f>
              <c:numCache>
                <c:formatCode>General</c:formatCode>
                <c:ptCount val="12"/>
                <c:pt idx="0">
                  <c:v>676.5</c:v>
                </c:pt>
                <c:pt idx="1">
                  <c:v>609.40000000000009</c:v>
                </c:pt>
                <c:pt idx="2">
                  <c:v>616</c:v>
                </c:pt>
                <c:pt idx="3">
                  <c:v>771.1</c:v>
                </c:pt>
                <c:pt idx="4">
                  <c:v>579.70000000000005</c:v>
                </c:pt>
                <c:pt idx="5">
                  <c:v>437.8</c:v>
                </c:pt>
                <c:pt idx="6">
                  <c:v>377.3</c:v>
                </c:pt>
                <c:pt idx="7">
                  <c:v>451.00000000000006</c:v>
                </c:pt>
                <c:pt idx="8">
                  <c:v>217.8</c:v>
                </c:pt>
                <c:pt idx="9">
                  <c:v>249.70000000000002</c:v>
                </c:pt>
                <c:pt idx="10">
                  <c:v>288.20000000000005</c:v>
                </c:pt>
                <c:pt idx="11">
                  <c:v>430.1</c:v>
                </c:pt>
              </c:numCache>
            </c:numRef>
          </c:val>
          <c:smooth val="0"/>
          <c:extLst>
            <c:ext xmlns:c16="http://schemas.microsoft.com/office/drawing/2014/chart" uri="{C3380CC4-5D6E-409C-BE32-E72D297353CC}">
              <c16:uniqueId val="{00000002-AEE4-4B4B-B7CF-6F68A122666B}"/>
            </c:ext>
          </c:extLst>
        </c:ser>
        <c:ser>
          <c:idx val="2"/>
          <c:order val="2"/>
          <c:tx>
            <c:strRef>
              <c:f>'Further Analysis Sheet'!$C$26</c:f>
              <c:strCache>
                <c:ptCount val="1"/>
                <c:pt idx="0">
                  <c:v>Target -10%</c:v>
                </c:pt>
              </c:strCache>
            </c:strRef>
          </c:tx>
          <c:spPr>
            <a:ln>
              <a:solidFill>
                <a:srgbClr val="7030A0"/>
              </a:solidFill>
            </a:ln>
          </c:spPr>
          <c:marker>
            <c:symbol val="none"/>
          </c:marker>
          <c:cat>
            <c:strRef>
              <c:f>'Further Analysis Sheet'!$D$23:$O$23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Sheet'!$D$26:$O$26</c:f>
              <c:numCache>
                <c:formatCode>General</c:formatCode>
                <c:ptCount val="12"/>
                <c:pt idx="0">
                  <c:v>553.5</c:v>
                </c:pt>
                <c:pt idx="1">
                  <c:v>498.6</c:v>
                </c:pt>
                <c:pt idx="2">
                  <c:v>504</c:v>
                </c:pt>
                <c:pt idx="3">
                  <c:v>630.9</c:v>
                </c:pt>
                <c:pt idx="4">
                  <c:v>474.3</c:v>
                </c:pt>
                <c:pt idx="5">
                  <c:v>358.2</c:v>
                </c:pt>
                <c:pt idx="6">
                  <c:v>308.7</c:v>
                </c:pt>
                <c:pt idx="7">
                  <c:v>369</c:v>
                </c:pt>
                <c:pt idx="8">
                  <c:v>178.20000000000002</c:v>
                </c:pt>
                <c:pt idx="9">
                  <c:v>204.3</c:v>
                </c:pt>
                <c:pt idx="10">
                  <c:v>235.8</c:v>
                </c:pt>
                <c:pt idx="11">
                  <c:v>351.90000000000003</c:v>
                </c:pt>
              </c:numCache>
            </c:numRef>
          </c:val>
          <c:smooth val="0"/>
          <c:extLst>
            <c:ext xmlns:c16="http://schemas.microsoft.com/office/drawing/2014/chart" uri="{C3380CC4-5D6E-409C-BE32-E72D297353CC}">
              <c16:uniqueId val="{00000003-AEE4-4B4B-B7CF-6F68A122666B}"/>
            </c:ext>
          </c:extLst>
        </c:ser>
        <c:dLbls>
          <c:showLegendKey val="0"/>
          <c:showVal val="0"/>
          <c:showCatName val="0"/>
          <c:showSerName val="0"/>
          <c:showPercent val="0"/>
          <c:showBubbleSize val="0"/>
        </c:dLbls>
        <c:marker val="1"/>
        <c:smooth val="0"/>
        <c:axId val="223248592"/>
        <c:axId val="223248200"/>
      </c:lineChart>
      <c:catAx>
        <c:axId val="223248592"/>
        <c:scaling>
          <c:orientation val="minMax"/>
        </c:scaling>
        <c:delete val="0"/>
        <c:axPos val="b"/>
        <c:numFmt formatCode="General" sourceLinked="0"/>
        <c:majorTickMark val="out"/>
        <c:minorTickMark val="none"/>
        <c:tickLblPos val="nextTo"/>
        <c:txPr>
          <a:bodyPr/>
          <a:lstStyle/>
          <a:p>
            <a:pPr>
              <a:defRPr sz="800"/>
            </a:pPr>
            <a:endParaRPr lang="en-US"/>
          </a:p>
        </c:txPr>
        <c:crossAx val="223248200"/>
        <c:crosses val="autoZero"/>
        <c:auto val="1"/>
        <c:lblAlgn val="ctr"/>
        <c:lblOffset val="100"/>
        <c:noMultiLvlLbl val="0"/>
      </c:catAx>
      <c:valAx>
        <c:axId val="223248200"/>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248592"/>
        <c:crosses val="autoZero"/>
        <c:crossBetween val="between"/>
      </c:valAx>
    </c:plotArea>
    <c:legend>
      <c:legendPos val="b"/>
      <c:layout>
        <c:manualLayout>
          <c:xMode val="edge"/>
          <c:yMode val="edge"/>
          <c:x val="7.0480108578230852E-2"/>
          <c:y val="0.89331706954179524"/>
          <c:w val="0.72437150801694339"/>
          <c:h val="8.6322733423545336E-2"/>
        </c:manualLayout>
      </c:layout>
      <c:overlay val="0"/>
      <c:txPr>
        <a:bodyPr/>
        <a:lstStyle/>
        <a:p>
          <a:pPr>
            <a:defRPr sz="900"/>
          </a:pPr>
          <a:endParaRPr lang="en-US"/>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3737392131273593E-2"/>
          <c:y val="2.723379168716375E-2"/>
          <c:w val="0.92862437234648831"/>
          <c:h val="0.82274629686023726"/>
        </c:manualLayout>
      </c:layout>
      <c:lineChart>
        <c:grouping val="standard"/>
        <c:varyColors val="0"/>
        <c:ser>
          <c:idx val="0"/>
          <c:order val="0"/>
          <c:tx>
            <c:strRef>
              <c:f>'Further Analysis Sheet'!$T$24</c:f>
              <c:strCache>
                <c:ptCount val="1"/>
                <c:pt idx="0">
                  <c:v>Target</c:v>
                </c:pt>
              </c:strCache>
            </c:strRef>
          </c:tx>
          <c:spPr>
            <a:ln>
              <a:solidFill>
                <a:srgbClr val="00B050"/>
              </a:solidFill>
              <a:prstDash val="sysDash"/>
            </a:ln>
          </c:spPr>
          <c:marker>
            <c:symbol val="none"/>
          </c:marker>
          <c:cat>
            <c:strRef>
              <c:f>'Further Analysis Sheet'!$U$23:$AF$23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Sheet'!$U$24:$AF$24</c:f>
              <c:numCache>
                <c:formatCode>General</c:formatCode>
                <c:ptCount val="12"/>
                <c:pt idx="0">
                  <c:v>615</c:v>
                </c:pt>
                <c:pt idx="1">
                  <c:v>1169</c:v>
                </c:pt>
                <c:pt idx="2">
                  <c:v>1729</c:v>
                </c:pt>
                <c:pt idx="3">
                  <c:v>2430</c:v>
                </c:pt>
                <c:pt idx="4">
                  <c:v>2957</c:v>
                </c:pt>
                <c:pt idx="5">
                  <c:v>3355</c:v>
                </c:pt>
                <c:pt idx="6">
                  <c:v>3698</c:v>
                </c:pt>
                <c:pt idx="7">
                  <c:v>4108</c:v>
                </c:pt>
                <c:pt idx="8">
                  <c:v>4306</c:v>
                </c:pt>
                <c:pt idx="9">
                  <c:v>4533</c:v>
                </c:pt>
                <c:pt idx="10">
                  <c:v>4795</c:v>
                </c:pt>
                <c:pt idx="11">
                  <c:v>5186</c:v>
                </c:pt>
              </c:numCache>
            </c:numRef>
          </c:val>
          <c:smooth val="0"/>
          <c:extLst>
            <c:ext xmlns:c16="http://schemas.microsoft.com/office/drawing/2014/chart" uri="{C3380CC4-5D6E-409C-BE32-E72D297353CC}">
              <c16:uniqueId val="{00000000-71BD-48DC-AC03-CB68F22638E6}"/>
            </c:ext>
          </c:extLst>
        </c:ser>
        <c:ser>
          <c:idx val="1"/>
          <c:order val="1"/>
          <c:tx>
            <c:strRef>
              <c:f>'Further Analysis Sheet'!$T$25</c:f>
              <c:strCache>
                <c:ptCount val="1"/>
                <c:pt idx="0">
                  <c:v>Target +10%</c:v>
                </c:pt>
              </c:strCache>
            </c:strRef>
          </c:tx>
          <c:spPr>
            <a:ln>
              <a:solidFill>
                <a:srgbClr val="C00000"/>
              </a:solidFill>
              <a:prstDash val="sysDash"/>
            </a:ln>
          </c:spPr>
          <c:marker>
            <c:symbol val="none"/>
          </c:marker>
          <c:cat>
            <c:strRef>
              <c:f>'Further Analysis Sheet'!$U$23:$AF$23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Sheet'!$U$25:$AF$25</c:f>
              <c:numCache>
                <c:formatCode>General</c:formatCode>
                <c:ptCount val="12"/>
                <c:pt idx="0">
                  <c:v>676.5</c:v>
                </c:pt>
                <c:pt idx="1">
                  <c:v>1285.9000000000001</c:v>
                </c:pt>
                <c:pt idx="2">
                  <c:v>1901.9</c:v>
                </c:pt>
                <c:pt idx="3">
                  <c:v>2673</c:v>
                </c:pt>
                <c:pt idx="4">
                  <c:v>3252.7</c:v>
                </c:pt>
                <c:pt idx="5">
                  <c:v>3690.5</c:v>
                </c:pt>
                <c:pt idx="6">
                  <c:v>4067.8</c:v>
                </c:pt>
                <c:pt idx="7">
                  <c:v>4518.8</c:v>
                </c:pt>
                <c:pt idx="8">
                  <c:v>4736.6000000000004</c:v>
                </c:pt>
                <c:pt idx="9">
                  <c:v>4986.3</c:v>
                </c:pt>
                <c:pt idx="10">
                  <c:v>5274.5</c:v>
                </c:pt>
                <c:pt idx="11">
                  <c:v>5704.6</c:v>
                </c:pt>
              </c:numCache>
            </c:numRef>
          </c:val>
          <c:smooth val="0"/>
          <c:extLst>
            <c:ext xmlns:c16="http://schemas.microsoft.com/office/drawing/2014/chart" uri="{C3380CC4-5D6E-409C-BE32-E72D297353CC}">
              <c16:uniqueId val="{00000001-71BD-48DC-AC03-CB68F22638E6}"/>
            </c:ext>
          </c:extLst>
        </c:ser>
        <c:ser>
          <c:idx val="2"/>
          <c:order val="2"/>
          <c:tx>
            <c:strRef>
              <c:f>'Further Analysis Sheet'!$T$26</c:f>
              <c:strCache>
                <c:ptCount val="1"/>
                <c:pt idx="0">
                  <c:v>Target -10%</c:v>
                </c:pt>
              </c:strCache>
            </c:strRef>
          </c:tx>
          <c:spPr>
            <a:ln>
              <a:solidFill>
                <a:srgbClr val="7030A0"/>
              </a:solidFill>
              <a:prstDash val="sysDash"/>
            </a:ln>
          </c:spPr>
          <c:marker>
            <c:symbol val="none"/>
          </c:marker>
          <c:cat>
            <c:strRef>
              <c:f>'Further Analysis Sheet'!$U$23:$AF$23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Sheet'!$U$26:$AF$26</c:f>
              <c:numCache>
                <c:formatCode>General</c:formatCode>
                <c:ptCount val="12"/>
                <c:pt idx="0">
                  <c:v>553.5</c:v>
                </c:pt>
                <c:pt idx="1">
                  <c:v>1052.0999999999999</c:v>
                </c:pt>
                <c:pt idx="2">
                  <c:v>1556.1</c:v>
                </c:pt>
                <c:pt idx="3">
                  <c:v>2187</c:v>
                </c:pt>
                <c:pt idx="4">
                  <c:v>2661.3</c:v>
                </c:pt>
                <c:pt idx="5">
                  <c:v>3019.5</c:v>
                </c:pt>
                <c:pt idx="6">
                  <c:v>3328.2</c:v>
                </c:pt>
                <c:pt idx="7">
                  <c:v>3697.2</c:v>
                </c:pt>
                <c:pt idx="8">
                  <c:v>3875.3999999999996</c:v>
                </c:pt>
                <c:pt idx="9">
                  <c:v>4079.7</c:v>
                </c:pt>
                <c:pt idx="10">
                  <c:v>4315.5</c:v>
                </c:pt>
                <c:pt idx="11">
                  <c:v>4667.3999999999996</c:v>
                </c:pt>
              </c:numCache>
            </c:numRef>
          </c:val>
          <c:smooth val="0"/>
          <c:extLst>
            <c:ext xmlns:c16="http://schemas.microsoft.com/office/drawing/2014/chart" uri="{C3380CC4-5D6E-409C-BE32-E72D297353CC}">
              <c16:uniqueId val="{00000002-71BD-48DC-AC03-CB68F22638E6}"/>
            </c:ext>
          </c:extLst>
        </c:ser>
        <c:ser>
          <c:idx val="3"/>
          <c:order val="3"/>
          <c:tx>
            <c:strRef>
              <c:f>'Further Analysis Sheet'!$T$27</c:f>
              <c:strCache>
                <c:ptCount val="1"/>
                <c:pt idx="0">
                  <c:v>Performance</c:v>
                </c:pt>
              </c:strCache>
            </c:strRef>
          </c:tx>
          <c:spPr>
            <a:ln>
              <a:solidFill>
                <a:schemeClr val="tx1"/>
              </a:solidFill>
            </a:ln>
          </c:spPr>
          <c:marker>
            <c:symbol val="none"/>
          </c:marker>
          <c:cat>
            <c:strRef>
              <c:f>'Further Analysis Sheet'!$U$23:$AF$23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Sheet'!$U$27:$AF$27</c:f>
              <c:numCache>
                <c:formatCode>General</c:formatCode>
                <c:ptCount val="12"/>
                <c:pt idx="0">
                  <c:v>243</c:v>
                </c:pt>
                <c:pt idx="1">
                  <c:v>534</c:v>
                </c:pt>
                <c:pt idx="2">
                  <c:v>894</c:v>
                </c:pt>
                <c:pt idx="3">
                  <c:v>1233</c:v>
                </c:pt>
                <c:pt idx="4">
                  <c:v>1658</c:v>
                </c:pt>
                <c:pt idx="5">
                  <c:v>1873</c:v>
                </c:pt>
                <c:pt idx="6">
                  <c:v>1873</c:v>
                </c:pt>
                <c:pt idx="7">
                  <c:v>1873</c:v>
                </c:pt>
                <c:pt idx="8">
                  <c:v>1873</c:v>
                </c:pt>
                <c:pt idx="9">
                  <c:v>1873</c:v>
                </c:pt>
                <c:pt idx="10">
                  <c:v>1873</c:v>
                </c:pt>
                <c:pt idx="11">
                  <c:v>1873</c:v>
                </c:pt>
              </c:numCache>
            </c:numRef>
          </c:val>
          <c:smooth val="0"/>
          <c:extLst>
            <c:ext xmlns:c16="http://schemas.microsoft.com/office/drawing/2014/chart" uri="{C3380CC4-5D6E-409C-BE32-E72D297353CC}">
              <c16:uniqueId val="{00000003-71BD-48DC-AC03-CB68F22638E6}"/>
            </c:ext>
          </c:extLst>
        </c:ser>
        <c:dLbls>
          <c:showLegendKey val="0"/>
          <c:showVal val="0"/>
          <c:showCatName val="0"/>
          <c:showSerName val="0"/>
          <c:showPercent val="0"/>
          <c:showBubbleSize val="0"/>
        </c:dLbls>
        <c:smooth val="0"/>
        <c:axId val="223099840"/>
        <c:axId val="223101408"/>
      </c:lineChart>
      <c:catAx>
        <c:axId val="223099840"/>
        <c:scaling>
          <c:orientation val="minMax"/>
        </c:scaling>
        <c:delete val="0"/>
        <c:axPos val="b"/>
        <c:numFmt formatCode="General" sourceLinked="0"/>
        <c:majorTickMark val="out"/>
        <c:minorTickMark val="none"/>
        <c:tickLblPos val="nextTo"/>
        <c:txPr>
          <a:bodyPr/>
          <a:lstStyle/>
          <a:p>
            <a:pPr>
              <a:defRPr sz="800"/>
            </a:pPr>
            <a:endParaRPr lang="en-US"/>
          </a:p>
        </c:txPr>
        <c:crossAx val="223101408"/>
        <c:crosses val="autoZero"/>
        <c:auto val="1"/>
        <c:lblAlgn val="ctr"/>
        <c:lblOffset val="100"/>
        <c:noMultiLvlLbl val="0"/>
      </c:catAx>
      <c:valAx>
        <c:axId val="223101408"/>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099840"/>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131653341020234E-2"/>
          <c:y val="2.723379168716375E-2"/>
          <c:w val="0.94171610051633736"/>
          <c:h val="0.81261058664605246"/>
        </c:manualLayout>
      </c:layout>
      <c:barChart>
        <c:barDir val="col"/>
        <c:grouping val="clustered"/>
        <c:varyColors val="0"/>
        <c:ser>
          <c:idx val="3"/>
          <c:order val="3"/>
          <c:tx>
            <c:strRef>
              <c:f>'Further Analysis Sheet'!$C$32</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Sheet'!$D$28:$O$28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Sheet'!$D$32:$O$32</c:f>
              <c:numCache>
                <c:formatCode>General</c:formatCode>
                <c:ptCount val="12"/>
                <c:pt idx="0">
                  <c:v>438</c:v>
                </c:pt>
                <c:pt idx="1">
                  <c:v>450</c:v>
                </c:pt>
                <c:pt idx="2">
                  <c:v>446</c:v>
                </c:pt>
                <c:pt idx="3">
                  <c:v>469</c:v>
                </c:pt>
                <c:pt idx="4">
                  <c:v>417</c:v>
                </c:pt>
                <c:pt idx="5">
                  <c:v>423</c:v>
                </c:pt>
                <c:pt idx="6">
                  <c:v>0</c:v>
                </c:pt>
                <c:pt idx="7">
                  <c:v>0</c:v>
                </c:pt>
                <c:pt idx="8">
                  <c:v>0</c:v>
                </c:pt>
                <c:pt idx="9">
                  <c:v>0</c:v>
                </c:pt>
                <c:pt idx="10">
                  <c:v>0</c:v>
                </c:pt>
                <c:pt idx="11">
                  <c:v>0</c:v>
                </c:pt>
              </c:numCache>
            </c:numRef>
          </c:val>
          <c:extLst>
            <c:ext xmlns:c16="http://schemas.microsoft.com/office/drawing/2014/chart" uri="{C3380CC4-5D6E-409C-BE32-E72D297353CC}">
              <c16:uniqueId val="{00000000-1EAA-436E-A247-8CFC98123049}"/>
            </c:ext>
          </c:extLst>
        </c:ser>
        <c:dLbls>
          <c:showLegendKey val="0"/>
          <c:showVal val="0"/>
          <c:showCatName val="0"/>
          <c:showSerName val="0"/>
          <c:showPercent val="0"/>
          <c:showBubbleSize val="0"/>
        </c:dLbls>
        <c:gapWidth val="60"/>
        <c:axId val="223102192"/>
        <c:axId val="223102584"/>
      </c:barChart>
      <c:lineChart>
        <c:grouping val="standard"/>
        <c:varyColors val="0"/>
        <c:ser>
          <c:idx val="2"/>
          <c:order val="2"/>
          <c:tx>
            <c:strRef>
              <c:f>'Further Analysis Sheet'!$C$31</c:f>
              <c:strCache>
                <c:ptCount val="1"/>
                <c:pt idx="0">
                  <c:v>Previous Year</c:v>
                </c:pt>
              </c:strCache>
            </c:strRef>
          </c:tx>
          <c:spPr>
            <a:ln>
              <a:solidFill>
                <a:srgbClr val="0070C0"/>
              </a:solidFill>
            </a:ln>
          </c:spPr>
          <c:marker>
            <c:symbol val="none"/>
          </c:marker>
          <c:cat>
            <c:strRef>
              <c:f>'Further Analysis Sheet'!$D$28:$O$28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Sheet'!$D$31:$O$31</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1-1EAA-436E-A247-8CFC98123049}"/>
            </c:ext>
          </c:extLst>
        </c:ser>
        <c:dLbls>
          <c:showLegendKey val="0"/>
          <c:showVal val="0"/>
          <c:showCatName val="0"/>
          <c:showSerName val="0"/>
          <c:showPercent val="0"/>
          <c:showBubbleSize val="0"/>
        </c:dLbls>
        <c:marker val="1"/>
        <c:smooth val="0"/>
        <c:axId val="223102192"/>
        <c:axId val="223102584"/>
        <c:extLst>
          <c:ext xmlns:c15="http://schemas.microsoft.com/office/drawing/2012/chart" uri="{02D57815-91ED-43cb-92C2-25804820EDAC}">
            <c15:filteredLineSeries>
              <c15:ser>
                <c:idx val="0"/>
                <c:order val="0"/>
                <c:tx>
                  <c:strRef>
                    <c:extLst>
                      <c:ext uri="{02D57815-91ED-43cb-92C2-25804820EDAC}">
                        <c15:formulaRef>
                          <c15:sqref>'Further Analysis Sheet'!$C$29</c15:sqref>
                        </c15:formulaRef>
                      </c:ext>
                    </c:extLst>
                    <c:strCache>
                      <c:ptCount val="1"/>
                    </c:strCache>
                  </c:strRef>
                </c:tx>
                <c:spPr>
                  <a:ln>
                    <a:solidFill>
                      <a:srgbClr val="00B050"/>
                    </a:solidFill>
                  </a:ln>
                </c:spPr>
                <c:marker>
                  <c:symbol val="none"/>
                </c:marker>
                <c:cat>
                  <c:strRef>
                    <c:extLst>
                      <c:ext uri="{02D57815-91ED-43cb-92C2-25804820EDAC}">
                        <c15:formulaRef>
                          <c15:sqref>'Further Analysis Sheet'!$D$28:$O$28</c15:sqref>
                        </c15:formulaRef>
                      </c:ext>
                    </c:extLst>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extLst>
                      <c:ext uri="{02D57815-91ED-43cb-92C2-25804820EDAC}">
                        <c15:formulaRef>
                          <c15:sqref>'Further Analysis Sheet'!$D$29:$O$29</c15:sqref>
                        </c15:formulaRef>
                      </c:ext>
                    </c:extLst>
                    <c:numCache>
                      <c:formatCode>General</c:formatCode>
                      <c:ptCount val="12"/>
                    </c:numCache>
                  </c:numRef>
                </c:val>
                <c:smooth val="0"/>
                <c:extLst>
                  <c:ext xmlns:c16="http://schemas.microsoft.com/office/drawing/2014/chart" uri="{C3380CC4-5D6E-409C-BE32-E72D297353CC}">
                    <c16:uniqueId val="{00000002-1EAA-436E-A247-8CFC98123049}"/>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'Further Analysis Sheet'!$C$30</c15:sqref>
                        </c15:formulaRef>
                      </c:ext>
                    </c:extLst>
                    <c:strCache>
                      <c:ptCount val="1"/>
                    </c:strCache>
                  </c:strRef>
                </c:tx>
                <c:marker>
                  <c:symbol val="none"/>
                </c:marker>
                <c:cat>
                  <c:strRef>
                    <c:extLst xmlns:c15="http://schemas.microsoft.com/office/drawing/2012/chart">
                      <c:ext xmlns:c15="http://schemas.microsoft.com/office/drawing/2012/chart" uri="{02D57815-91ED-43cb-92C2-25804820EDAC}">
                        <c15:formulaRef>
                          <c15:sqref>'Further Analysis Sheet'!$D$28:$O$28</c15:sqref>
                        </c15:formulaRef>
                      </c:ext>
                    </c:extLst>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extLst xmlns:c15="http://schemas.microsoft.com/office/drawing/2012/chart">
                      <c:ext xmlns:c15="http://schemas.microsoft.com/office/drawing/2012/chart" uri="{02D57815-91ED-43cb-92C2-25804820EDAC}">
                        <c15:formulaRef>
                          <c15:sqref>'Further Analysis Sheet'!$D$30:$O$30</c15:sqref>
                        </c15:formulaRef>
                      </c:ext>
                    </c:extLst>
                    <c:numCache>
                      <c:formatCode>General</c:formatCode>
                      <c:ptCount val="12"/>
                    </c:numCache>
                  </c:numRef>
                </c:val>
                <c:smooth val="0"/>
                <c:extLst xmlns:c15="http://schemas.microsoft.com/office/drawing/2012/chart">
                  <c:ext xmlns:c16="http://schemas.microsoft.com/office/drawing/2014/chart" uri="{C3380CC4-5D6E-409C-BE32-E72D297353CC}">
                    <c16:uniqueId val="{00000003-1EAA-436E-A247-8CFC98123049}"/>
                  </c:ext>
                </c:extLst>
              </c15:ser>
            </c15:filteredLineSeries>
          </c:ext>
        </c:extLst>
      </c:lineChart>
      <c:catAx>
        <c:axId val="223102192"/>
        <c:scaling>
          <c:orientation val="minMax"/>
        </c:scaling>
        <c:delete val="0"/>
        <c:axPos val="b"/>
        <c:numFmt formatCode="General" sourceLinked="0"/>
        <c:majorTickMark val="out"/>
        <c:minorTickMark val="none"/>
        <c:tickLblPos val="nextTo"/>
        <c:txPr>
          <a:bodyPr/>
          <a:lstStyle/>
          <a:p>
            <a:pPr>
              <a:defRPr sz="800"/>
            </a:pPr>
            <a:endParaRPr lang="en-US"/>
          </a:p>
        </c:txPr>
        <c:crossAx val="223102584"/>
        <c:crosses val="autoZero"/>
        <c:auto val="1"/>
        <c:lblAlgn val="ctr"/>
        <c:lblOffset val="100"/>
        <c:noMultiLvlLbl val="0"/>
      </c:catAx>
      <c:valAx>
        <c:axId val="22310258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102192"/>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0148849568862316E-2"/>
          <c:y val="3.7280095574972472E-2"/>
          <c:w val="0.93985115043113765"/>
          <c:h val="0.81282961262464182"/>
        </c:manualLayout>
      </c:layout>
      <c:lineChart>
        <c:grouping val="standard"/>
        <c:varyColors val="0"/>
        <c:ser>
          <c:idx val="2"/>
          <c:order val="2"/>
          <c:tx>
            <c:strRef>
              <c:f>'Further Analysis Sheet'!$T$31</c:f>
              <c:strCache>
                <c:ptCount val="1"/>
                <c:pt idx="0">
                  <c:v>Previous Year</c:v>
                </c:pt>
              </c:strCache>
            </c:strRef>
          </c:tx>
          <c:spPr>
            <a:ln>
              <a:solidFill>
                <a:srgbClr val="0070C0"/>
              </a:solidFill>
              <a:prstDash val="sysDash"/>
            </a:ln>
          </c:spPr>
          <c:marker>
            <c:symbol val="none"/>
          </c:marker>
          <c:cat>
            <c:strRef>
              <c:f>'Further Analysis Sheet'!$U$28:$AF$28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Sheet'!$U$31:$AF$31</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0-5567-46C5-B960-A3BD2ED84534}"/>
            </c:ext>
          </c:extLst>
        </c:ser>
        <c:ser>
          <c:idx val="3"/>
          <c:order val="3"/>
          <c:tx>
            <c:strRef>
              <c:f>'Further Analysis Sheet'!$T$32</c:f>
              <c:strCache>
                <c:ptCount val="1"/>
                <c:pt idx="0">
                  <c:v>Performance</c:v>
                </c:pt>
              </c:strCache>
            </c:strRef>
          </c:tx>
          <c:spPr>
            <a:ln>
              <a:solidFill>
                <a:schemeClr val="tx1"/>
              </a:solidFill>
            </a:ln>
          </c:spPr>
          <c:marker>
            <c:symbol val="none"/>
          </c:marker>
          <c:cat>
            <c:strRef>
              <c:f>'Further Analysis Sheet'!$U$28:$AF$28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Sheet'!$U$32:$AF$32</c:f>
              <c:numCache>
                <c:formatCode>General</c:formatCode>
                <c:ptCount val="12"/>
                <c:pt idx="0">
                  <c:v>438</c:v>
                </c:pt>
                <c:pt idx="1">
                  <c:v>888</c:v>
                </c:pt>
                <c:pt idx="2">
                  <c:v>1334</c:v>
                </c:pt>
                <c:pt idx="3">
                  <c:v>1803</c:v>
                </c:pt>
                <c:pt idx="4">
                  <c:v>2220</c:v>
                </c:pt>
                <c:pt idx="5">
                  <c:v>2643</c:v>
                </c:pt>
                <c:pt idx="6">
                  <c:v>2643</c:v>
                </c:pt>
                <c:pt idx="7">
                  <c:v>2643</c:v>
                </c:pt>
                <c:pt idx="8">
                  <c:v>2643</c:v>
                </c:pt>
                <c:pt idx="9">
                  <c:v>2643</c:v>
                </c:pt>
                <c:pt idx="10">
                  <c:v>2643</c:v>
                </c:pt>
                <c:pt idx="11">
                  <c:v>2643</c:v>
                </c:pt>
              </c:numCache>
            </c:numRef>
          </c:val>
          <c:smooth val="0"/>
          <c:extLst>
            <c:ext xmlns:c16="http://schemas.microsoft.com/office/drawing/2014/chart" uri="{C3380CC4-5D6E-409C-BE32-E72D297353CC}">
              <c16:uniqueId val="{00000001-5567-46C5-B960-A3BD2ED84534}"/>
            </c:ext>
          </c:extLst>
        </c:ser>
        <c:dLbls>
          <c:showLegendKey val="0"/>
          <c:showVal val="0"/>
          <c:showCatName val="0"/>
          <c:showSerName val="0"/>
          <c:showPercent val="0"/>
          <c:showBubbleSize val="0"/>
        </c:dLbls>
        <c:smooth val="0"/>
        <c:axId val="223427664"/>
        <c:axId val="223428056"/>
        <c:extLst>
          <c:ext xmlns:c15="http://schemas.microsoft.com/office/drawing/2012/chart" uri="{02D57815-91ED-43cb-92C2-25804820EDAC}">
            <c15:filteredLineSeries>
              <c15:ser>
                <c:idx val="0"/>
                <c:order val="0"/>
                <c:tx>
                  <c:strRef>
                    <c:extLst>
                      <c:ext uri="{02D57815-91ED-43cb-92C2-25804820EDAC}">
                        <c15:formulaRef>
                          <c15:sqref>'Further Analysis Sheet'!$T$29</c15:sqref>
                        </c15:formulaRef>
                      </c:ext>
                    </c:extLst>
                    <c:strCache>
                      <c:ptCount val="1"/>
                    </c:strCache>
                  </c:strRef>
                </c:tx>
                <c:spPr>
                  <a:ln>
                    <a:solidFill>
                      <a:srgbClr val="00B050"/>
                    </a:solidFill>
                    <a:prstDash val="sysDash"/>
                  </a:ln>
                </c:spPr>
                <c:marker>
                  <c:symbol val="none"/>
                </c:marker>
                <c:cat>
                  <c:strRef>
                    <c:extLst>
                      <c:ext uri="{02D57815-91ED-43cb-92C2-25804820EDAC}">
                        <c15:formulaRef>
                          <c15:sqref>'Further Analysis Sheet'!$U$28:$AF$28</c15:sqref>
                        </c15:formulaRef>
                      </c:ext>
                    </c:extLst>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extLst>
                      <c:ext uri="{02D57815-91ED-43cb-92C2-25804820EDAC}">
                        <c15:formulaRef>
                          <c15:sqref>'Further Analysis Sheet'!$U$29:$AF$29</c15:sqref>
                        </c15:formulaRef>
                      </c:ext>
                    </c:extLst>
                    <c:numCache>
                      <c:formatCode>General</c:formatCode>
                      <c:ptCount val="12"/>
                    </c:numCache>
                  </c:numRef>
                </c:val>
                <c:smooth val="0"/>
                <c:extLst>
                  <c:ext xmlns:c16="http://schemas.microsoft.com/office/drawing/2014/chart" uri="{C3380CC4-5D6E-409C-BE32-E72D297353CC}">
                    <c16:uniqueId val="{00000002-5567-46C5-B960-A3BD2ED84534}"/>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'Further Analysis Sheet'!$T$30</c15:sqref>
                        </c15:formulaRef>
                      </c:ext>
                    </c:extLst>
                    <c:strCache>
                      <c:ptCount val="1"/>
                    </c:strCache>
                  </c:strRef>
                </c:tx>
                <c:spPr>
                  <a:ln>
                    <a:prstDash val="sysDash"/>
                  </a:ln>
                </c:spPr>
                <c:marker>
                  <c:symbol val="none"/>
                </c:marker>
                <c:cat>
                  <c:strRef>
                    <c:extLst xmlns:c15="http://schemas.microsoft.com/office/drawing/2012/chart">
                      <c:ext xmlns:c15="http://schemas.microsoft.com/office/drawing/2012/chart" uri="{02D57815-91ED-43cb-92C2-25804820EDAC}">
                        <c15:formulaRef>
                          <c15:sqref>'Further Analysis Sheet'!$U$28:$AF$28</c15:sqref>
                        </c15:formulaRef>
                      </c:ext>
                    </c:extLst>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extLst xmlns:c15="http://schemas.microsoft.com/office/drawing/2012/chart">
                      <c:ext xmlns:c15="http://schemas.microsoft.com/office/drawing/2012/chart" uri="{02D57815-91ED-43cb-92C2-25804820EDAC}">
                        <c15:formulaRef>
                          <c15:sqref>'Further Analysis Sheet'!$U$30:$AF$30</c15:sqref>
                        </c15:formulaRef>
                      </c:ext>
                    </c:extLst>
                    <c:numCache>
                      <c:formatCode>General</c:formatCode>
                      <c:ptCount val="12"/>
                    </c:numCache>
                  </c:numRef>
                </c:val>
                <c:smooth val="0"/>
                <c:extLst xmlns:c15="http://schemas.microsoft.com/office/drawing/2012/chart">
                  <c:ext xmlns:c16="http://schemas.microsoft.com/office/drawing/2014/chart" uri="{C3380CC4-5D6E-409C-BE32-E72D297353CC}">
                    <c16:uniqueId val="{00000003-5567-46C5-B960-A3BD2ED84534}"/>
                  </c:ext>
                </c:extLst>
              </c15:ser>
            </c15:filteredLineSeries>
          </c:ext>
        </c:extLst>
      </c:lineChart>
      <c:catAx>
        <c:axId val="223427664"/>
        <c:scaling>
          <c:orientation val="minMax"/>
        </c:scaling>
        <c:delete val="0"/>
        <c:axPos val="b"/>
        <c:numFmt formatCode="General" sourceLinked="0"/>
        <c:majorTickMark val="out"/>
        <c:minorTickMark val="none"/>
        <c:tickLblPos val="nextTo"/>
        <c:txPr>
          <a:bodyPr/>
          <a:lstStyle/>
          <a:p>
            <a:pPr>
              <a:defRPr sz="800"/>
            </a:pPr>
            <a:endParaRPr lang="en-US"/>
          </a:p>
        </c:txPr>
        <c:crossAx val="223428056"/>
        <c:crosses val="autoZero"/>
        <c:auto val="1"/>
        <c:lblAlgn val="ctr"/>
        <c:lblOffset val="100"/>
        <c:noMultiLvlLbl val="0"/>
      </c:catAx>
      <c:valAx>
        <c:axId val="223428056"/>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427664"/>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5272522533912551E-2"/>
          <c:y val="2.7360287974263472E-2"/>
          <c:w val="0.94171610051633736"/>
          <c:h val="0.81261058664605246"/>
        </c:manualLayout>
      </c:layout>
      <c:barChart>
        <c:barDir val="col"/>
        <c:grouping val="clustered"/>
        <c:varyColors val="0"/>
        <c:ser>
          <c:idx val="3"/>
          <c:order val="3"/>
          <c:tx>
            <c:strRef>
              <c:f>'Further Analysis Sheet'!$C$37</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Sheet'!$D$33:$O$33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Sheet'!$D$37:$O$37</c:f>
              <c:numCache>
                <c:formatCode>General</c:formatCode>
                <c:ptCount val="12"/>
                <c:pt idx="0">
                  <c:v>501</c:v>
                </c:pt>
                <c:pt idx="1">
                  <c:v>600</c:v>
                </c:pt>
                <c:pt idx="2">
                  <c:v>589</c:v>
                </c:pt>
                <c:pt idx="3">
                  <c:v>636</c:v>
                </c:pt>
                <c:pt idx="4">
                  <c:v>639</c:v>
                </c:pt>
                <c:pt idx="5">
                  <c:v>559</c:v>
                </c:pt>
                <c:pt idx="6">
                  <c:v>0</c:v>
                </c:pt>
                <c:pt idx="7">
                  <c:v>0</c:v>
                </c:pt>
                <c:pt idx="8">
                  <c:v>0</c:v>
                </c:pt>
                <c:pt idx="9">
                  <c:v>0</c:v>
                </c:pt>
                <c:pt idx="10">
                  <c:v>0</c:v>
                </c:pt>
                <c:pt idx="11">
                  <c:v>0</c:v>
                </c:pt>
              </c:numCache>
            </c:numRef>
          </c:val>
          <c:extLst>
            <c:ext xmlns:c16="http://schemas.microsoft.com/office/drawing/2014/chart" uri="{C3380CC4-5D6E-409C-BE32-E72D297353CC}">
              <c16:uniqueId val="{00000000-AA6F-4029-9159-3F9FA1D38CF5}"/>
            </c:ext>
          </c:extLst>
        </c:ser>
        <c:dLbls>
          <c:showLegendKey val="0"/>
          <c:showVal val="0"/>
          <c:showCatName val="0"/>
          <c:showSerName val="0"/>
          <c:showPercent val="0"/>
          <c:showBubbleSize val="0"/>
        </c:dLbls>
        <c:gapWidth val="60"/>
        <c:axId val="223428840"/>
        <c:axId val="223429232"/>
      </c:barChart>
      <c:lineChart>
        <c:grouping val="standard"/>
        <c:varyColors val="0"/>
        <c:ser>
          <c:idx val="0"/>
          <c:order val="0"/>
          <c:tx>
            <c:strRef>
              <c:f>'Further Analysis Sheet'!$C$34</c:f>
              <c:strCache>
                <c:ptCount val="1"/>
                <c:pt idx="0">
                  <c:v>Target</c:v>
                </c:pt>
              </c:strCache>
            </c:strRef>
          </c:tx>
          <c:spPr>
            <a:ln>
              <a:solidFill>
                <a:srgbClr val="00B050"/>
              </a:solidFill>
            </a:ln>
          </c:spPr>
          <c:marker>
            <c:symbol val="none"/>
          </c:marker>
          <c:cat>
            <c:strRef>
              <c:f>'Further Analysis Sheet'!$D$33:$O$33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Sheet'!$D$34:$O$34</c:f>
              <c:numCache>
                <c:formatCode>General</c:formatCode>
                <c:ptCount val="12"/>
                <c:pt idx="0">
                  <c:v>571</c:v>
                </c:pt>
                <c:pt idx="1">
                  <c:v>559</c:v>
                </c:pt>
                <c:pt idx="2">
                  <c:v>543</c:v>
                </c:pt>
                <c:pt idx="3">
                  <c:v>623</c:v>
                </c:pt>
                <c:pt idx="4">
                  <c:v>629</c:v>
                </c:pt>
                <c:pt idx="5">
                  <c:v>590</c:v>
                </c:pt>
                <c:pt idx="6">
                  <c:v>601</c:v>
                </c:pt>
                <c:pt idx="7">
                  <c:v>580</c:v>
                </c:pt>
                <c:pt idx="8">
                  <c:v>553</c:v>
                </c:pt>
                <c:pt idx="9">
                  <c:v>506</c:v>
                </c:pt>
                <c:pt idx="10">
                  <c:v>486</c:v>
                </c:pt>
                <c:pt idx="11">
                  <c:v>533</c:v>
                </c:pt>
              </c:numCache>
            </c:numRef>
          </c:val>
          <c:smooth val="0"/>
          <c:extLst>
            <c:ext xmlns:c16="http://schemas.microsoft.com/office/drawing/2014/chart" uri="{C3380CC4-5D6E-409C-BE32-E72D297353CC}">
              <c16:uniqueId val="{00000001-AA6F-4029-9159-3F9FA1D38CF5}"/>
            </c:ext>
          </c:extLst>
        </c:ser>
        <c:ser>
          <c:idx val="1"/>
          <c:order val="1"/>
          <c:tx>
            <c:strRef>
              <c:f>'Further Analysis Sheet'!$C$35</c:f>
              <c:strCache>
                <c:ptCount val="1"/>
                <c:pt idx="0">
                  <c:v>Target +10%</c:v>
                </c:pt>
              </c:strCache>
            </c:strRef>
          </c:tx>
          <c:spPr>
            <a:ln>
              <a:solidFill>
                <a:srgbClr val="C00000"/>
              </a:solidFill>
            </a:ln>
          </c:spPr>
          <c:marker>
            <c:symbol val="none"/>
          </c:marker>
          <c:cat>
            <c:strRef>
              <c:f>'Further Analysis Sheet'!$D$33:$O$33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Sheet'!$D$35:$O$35</c:f>
              <c:numCache>
                <c:formatCode>General</c:formatCode>
                <c:ptCount val="12"/>
                <c:pt idx="0">
                  <c:v>628.1</c:v>
                </c:pt>
                <c:pt idx="1">
                  <c:v>614.90000000000009</c:v>
                </c:pt>
                <c:pt idx="2">
                  <c:v>597.30000000000007</c:v>
                </c:pt>
                <c:pt idx="3">
                  <c:v>685.30000000000007</c:v>
                </c:pt>
                <c:pt idx="4">
                  <c:v>691.90000000000009</c:v>
                </c:pt>
                <c:pt idx="5">
                  <c:v>649</c:v>
                </c:pt>
                <c:pt idx="6">
                  <c:v>661.1</c:v>
                </c:pt>
                <c:pt idx="7">
                  <c:v>638</c:v>
                </c:pt>
                <c:pt idx="8">
                  <c:v>608.30000000000007</c:v>
                </c:pt>
                <c:pt idx="9">
                  <c:v>556.6</c:v>
                </c:pt>
                <c:pt idx="10">
                  <c:v>534.6</c:v>
                </c:pt>
                <c:pt idx="11">
                  <c:v>586.30000000000007</c:v>
                </c:pt>
              </c:numCache>
            </c:numRef>
          </c:val>
          <c:smooth val="0"/>
          <c:extLst>
            <c:ext xmlns:c16="http://schemas.microsoft.com/office/drawing/2014/chart" uri="{C3380CC4-5D6E-409C-BE32-E72D297353CC}">
              <c16:uniqueId val="{00000002-AA6F-4029-9159-3F9FA1D38CF5}"/>
            </c:ext>
          </c:extLst>
        </c:ser>
        <c:ser>
          <c:idx val="2"/>
          <c:order val="2"/>
          <c:tx>
            <c:strRef>
              <c:f>'Further Analysis Sheet'!$C$36</c:f>
              <c:strCache>
                <c:ptCount val="1"/>
                <c:pt idx="0">
                  <c:v>Target -10%</c:v>
                </c:pt>
              </c:strCache>
            </c:strRef>
          </c:tx>
          <c:spPr>
            <a:ln>
              <a:solidFill>
                <a:srgbClr val="7030A0"/>
              </a:solidFill>
            </a:ln>
          </c:spPr>
          <c:marker>
            <c:symbol val="none"/>
          </c:marker>
          <c:cat>
            <c:strRef>
              <c:f>'Further Analysis Sheet'!$D$33:$O$33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Sheet'!$D$36:$O$36</c:f>
              <c:numCache>
                <c:formatCode>General</c:formatCode>
                <c:ptCount val="12"/>
                <c:pt idx="0">
                  <c:v>513.9</c:v>
                </c:pt>
                <c:pt idx="1">
                  <c:v>503.1</c:v>
                </c:pt>
                <c:pt idx="2">
                  <c:v>488.7</c:v>
                </c:pt>
                <c:pt idx="3">
                  <c:v>560.70000000000005</c:v>
                </c:pt>
                <c:pt idx="4">
                  <c:v>566.1</c:v>
                </c:pt>
                <c:pt idx="5">
                  <c:v>531</c:v>
                </c:pt>
                <c:pt idx="6">
                  <c:v>540.9</c:v>
                </c:pt>
                <c:pt idx="7">
                  <c:v>522</c:v>
                </c:pt>
                <c:pt idx="8">
                  <c:v>497.7</c:v>
                </c:pt>
                <c:pt idx="9">
                  <c:v>455.40000000000003</c:v>
                </c:pt>
                <c:pt idx="10">
                  <c:v>437.40000000000003</c:v>
                </c:pt>
                <c:pt idx="11">
                  <c:v>479.7</c:v>
                </c:pt>
              </c:numCache>
            </c:numRef>
          </c:val>
          <c:smooth val="0"/>
          <c:extLst>
            <c:ext xmlns:c16="http://schemas.microsoft.com/office/drawing/2014/chart" uri="{C3380CC4-5D6E-409C-BE32-E72D297353CC}">
              <c16:uniqueId val="{00000003-AA6F-4029-9159-3F9FA1D38CF5}"/>
            </c:ext>
          </c:extLst>
        </c:ser>
        <c:dLbls>
          <c:showLegendKey val="0"/>
          <c:showVal val="0"/>
          <c:showCatName val="0"/>
          <c:showSerName val="0"/>
          <c:showPercent val="0"/>
          <c:showBubbleSize val="0"/>
        </c:dLbls>
        <c:marker val="1"/>
        <c:smooth val="0"/>
        <c:axId val="223428840"/>
        <c:axId val="223429232"/>
      </c:lineChart>
      <c:catAx>
        <c:axId val="223428840"/>
        <c:scaling>
          <c:orientation val="minMax"/>
        </c:scaling>
        <c:delete val="0"/>
        <c:axPos val="b"/>
        <c:numFmt formatCode="General" sourceLinked="0"/>
        <c:majorTickMark val="out"/>
        <c:minorTickMark val="none"/>
        <c:tickLblPos val="nextTo"/>
        <c:txPr>
          <a:bodyPr/>
          <a:lstStyle/>
          <a:p>
            <a:pPr>
              <a:defRPr sz="800"/>
            </a:pPr>
            <a:endParaRPr lang="en-US"/>
          </a:p>
        </c:txPr>
        <c:crossAx val="223429232"/>
        <c:crosses val="autoZero"/>
        <c:auto val="1"/>
        <c:lblAlgn val="ctr"/>
        <c:lblOffset val="100"/>
        <c:noMultiLvlLbl val="0"/>
      </c:catAx>
      <c:valAx>
        <c:axId val="223429232"/>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428840"/>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771511942510072E-2"/>
          <c:y val="2.723379168716375E-2"/>
          <c:w val="0.91602567020162939"/>
          <c:h val="0.81261058664605246"/>
        </c:manualLayout>
      </c:layout>
      <c:barChart>
        <c:barDir val="col"/>
        <c:grouping val="clustered"/>
        <c:varyColors val="0"/>
        <c:ser>
          <c:idx val="3"/>
          <c:order val="3"/>
          <c:tx>
            <c:strRef>
              <c:f>'Further Analysis Sheet'!$C$42</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Sheet'!$D$38:$O$38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Sheet'!$D$42:$O$42</c:f>
              <c:numCache>
                <c:formatCode>0.0%</c:formatCode>
                <c:ptCount val="12"/>
                <c:pt idx="0">
                  <c:v>0.98319327731092432</c:v>
                </c:pt>
                <c:pt idx="1">
                  <c:v>1</c:v>
                </c:pt>
                <c:pt idx="2">
                  <c:v>0.92372881355932202</c:v>
                </c:pt>
                <c:pt idx="3">
                  <c:v>0.96062992125984248</c:v>
                </c:pt>
                <c:pt idx="4">
                  <c:v>0.96850393700787396</c:v>
                </c:pt>
                <c:pt idx="5">
                  <c:v>0.94615384615384612</c:v>
                </c:pt>
                <c:pt idx="6">
                  <c:v>0</c:v>
                </c:pt>
                <c:pt idx="7">
                  <c:v>0</c:v>
                </c:pt>
                <c:pt idx="8">
                  <c:v>0</c:v>
                </c:pt>
                <c:pt idx="9">
                  <c:v>0</c:v>
                </c:pt>
                <c:pt idx="10">
                  <c:v>0</c:v>
                </c:pt>
                <c:pt idx="11">
                  <c:v>0</c:v>
                </c:pt>
              </c:numCache>
            </c:numRef>
          </c:val>
          <c:extLst>
            <c:ext xmlns:c16="http://schemas.microsoft.com/office/drawing/2014/chart" uri="{C3380CC4-5D6E-409C-BE32-E72D297353CC}">
              <c16:uniqueId val="{00000000-B717-4BDA-AF20-661D6916E98A}"/>
            </c:ext>
          </c:extLst>
        </c:ser>
        <c:dLbls>
          <c:showLegendKey val="0"/>
          <c:showVal val="0"/>
          <c:showCatName val="0"/>
          <c:showSerName val="0"/>
          <c:showPercent val="0"/>
          <c:showBubbleSize val="0"/>
        </c:dLbls>
        <c:gapWidth val="60"/>
        <c:axId val="223431192"/>
        <c:axId val="223690328"/>
      </c:barChart>
      <c:lineChart>
        <c:grouping val="standard"/>
        <c:varyColors val="0"/>
        <c:ser>
          <c:idx val="0"/>
          <c:order val="0"/>
          <c:tx>
            <c:strRef>
              <c:f>'Further Analysis Sheet'!$C$39</c:f>
              <c:strCache>
                <c:ptCount val="1"/>
                <c:pt idx="0">
                  <c:v>Target</c:v>
                </c:pt>
              </c:strCache>
            </c:strRef>
          </c:tx>
          <c:spPr>
            <a:ln>
              <a:solidFill>
                <a:srgbClr val="00B050"/>
              </a:solidFill>
            </a:ln>
          </c:spPr>
          <c:marker>
            <c:symbol val="none"/>
          </c:marker>
          <c:cat>
            <c:strRef>
              <c:f>'Further Analysis Sheet'!$D$38:$O$38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Sheet'!$D$39:$O$39</c:f>
              <c:numCache>
                <c:formatCode>0.00%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B717-4BDA-AF20-661D6916E98A}"/>
            </c:ext>
          </c:extLst>
        </c:ser>
        <c:ser>
          <c:idx val="1"/>
          <c:order val="1"/>
          <c:tx>
            <c:strRef>
              <c:f>'Further Analysis Sheet'!$C$40</c:f>
              <c:strCache>
                <c:ptCount val="1"/>
                <c:pt idx="0">
                  <c:v>Target +10%</c:v>
                </c:pt>
              </c:strCache>
            </c:strRef>
          </c:tx>
          <c:spPr>
            <a:ln>
              <a:solidFill>
                <a:srgbClr val="7030A0"/>
              </a:solidFill>
            </a:ln>
          </c:spPr>
          <c:marker>
            <c:symbol val="none"/>
          </c:marker>
          <c:cat>
            <c:strRef>
              <c:f>'Further Analysis Sheet'!$D$38:$O$38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Sheet'!$D$40:$O$40</c:f>
              <c:numCache>
                <c:formatCode>0.0%</c:formatCode>
                <c:ptCount val="12"/>
                <c:pt idx="0">
                  <c:v>0.9900000000000001</c:v>
                </c:pt>
                <c:pt idx="1">
                  <c:v>0.9900000000000001</c:v>
                </c:pt>
                <c:pt idx="2">
                  <c:v>0.9900000000000001</c:v>
                </c:pt>
                <c:pt idx="3">
                  <c:v>0.9900000000000001</c:v>
                </c:pt>
                <c:pt idx="4">
                  <c:v>0.9900000000000001</c:v>
                </c:pt>
                <c:pt idx="5">
                  <c:v>0.9900000000000001</c:v>
                </c:pt>
                <c:pt idx="6">
                  <c:v>0.9900000000000001</c:v>
                </c:pt>
                <c:pt idx="7">
                  <c:v>0.9900000000000001</c:v>
                </c:pt>
                <c:pt idx="8">
                  <c:v>0.9900000000000001</c:v>
                </c:pt>
                <c:pt idx="9">
                  <c:v>0.9900000000000001</c:v>
                </c:pt>
                <c:pt idx="10">
                  <c:v>0.9900000000000001</c:v>
                </c:pt>
                <c:pt idx="11">
                  <c:v>0.9900000000000001</c:v>
                </c:pt>
              </c:numCache>
            </c:numRef>
          </c:val>
          <c:smooth val="0"/>
          <c:extLst>
            <c:ext xmlns:c16="http://schemas.microsoft.com/office/drawing/2014/chart" uri="{C3380CC4-5D6E-409C-BE32-E72D297353CC}">
              <c16:uniqueId val="{00000002-B717-4BDA-AF20-661D6916E98A}"/>
            </c:ext>
          </c:extLst>
        </c:ser>
        <c:ser>
          <c:idx val="2"/>
          <c:order val="2"/>
          <c:tx>
            <c:strRef>
              <c:f>'Further Analysis Sheet'!$C$41</c:f>
              <c:strCache>
                <c:ptCount val="1"/>
                <c:pt idx="0">
                  <c:v>Target -10%</c:v>
                </c:pt>
              </c:strCache>
            </c:strRef>
          </c:tx>
          <c:spPr>
            <a:ln>
              <a:solidFill>
                <a:srgbClr val="C00000"/>
              </a:solidFill>
            </a:ln>
          </c:spPr>
          <c:marker>
            <c:symbol val="none"/>
          </c:marker>
          <c:cat>
            <c:strRef>
              <c:f>'Further Analysis Sheet'!$D$38:$O$38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Sheet'!$D$41:$O$41</c:f>
              <c:numCache>
                <c:formatCode>0.0%</c:formatCode>
                <c:ptCount val="12"/>
                <c:pt idx="0">
                  <c:v>0.81</c:v>
                </c:pt>
                <c:pt idx="1">
                  <c:v>0.81</c:v>
                </c:pt>
                <c:pt idx="2">
                  <c:v>0.81</c:v>
                </c:pt>
                <c:pt idx="3">
                  <c:v>0.81</c:v>
                </c:pt>
                <c:pt idx="4">
                  <c:v>0.81</c:v>
                </c:pt>
                <c:pt idx="5">
                  <c:v>0.81</c:v>
                </c:pt>
                <c:pt idx="6">
                  <c:v>0.81</c:v>
                </c:pt>
                <c:pt idx="7">
                  <c:v>0.81</c:v>
                </c:pt>
                <c:pt idx="8">
                  <c:v>0.81</c:v>
                </c:pt>
                <c:pt idx="9">
                  <c:v>0.81</c:v>
                </c:pt>
                <c:pt idx="10">
                  <c:v>0.81</c:v>
                </c:pt>
                <c:pt idx="11">
                  <c:v>0.81</c:v>
                </c:pt>
              </c:numCache>
            </c:numRef>
          </c:val>
          <c:smooth val="0"/>
          <c:extLst>
            <c:ext xmlns:c16="http://schemas.microsoft.com/office/drawing/2014/chart" uri="{C3380CC4-5D6E-409C-BE32-E72D297353CC}">
              <c16:uniqueId val="{00000003-B717-4BDA-AF20-661D6916E98A}"/>
            </c:ext>
          </c:extLst>
        </c:ser>
        <c:dLbls>
          <c:showLegendKey val="0"/>
          <c:showVal val="0"/>
          <c:showCatName val="0"/>
          <c:showSerName val="0"/>
          <c:showPercent val="0"/>
          <c:showBubbleSize val="0"/>
        </c:dLbls>
        <c:marker val="1"/>
        <c:smooth val="0"/>
        <c:axId val="223431192"/>
        <c:axId val="223690328"/>
      </c:lineChart>
      <c:catAx>
        <c:axId val="223431192"/>
        <c:scaling>
          <c:orientation val="minMax"/>
        </c:scaling>
        <c:delete val="0"/>
        <c:axPos val="b"/>
        <c:numFmt formatCode="General" sourceLinked="0"/>
        <c:majorTickMark val="out"/>
        <c:minorTickMark val="none"/>
        <c:tickLblPos val="nextTo"/>
        <c:txPr>
          <a:bodyPr/>
          <a:lstStyle/>
          <a:p>
            <a:pPr>
              <a:defRPr sz="800"/>
            </a:pPr>
            <a:endParaRPr lang="en-US"/>
          </a:p>
        </c:txPr>
        <c:crossAx val="223690328"/>
        <c:crosses val="autoZero"/>
        <c:auto val="1"/>
        <c:lblAlgn val="ctr"/>
        <c:lblOffset val="100"/>
        <c:noMultiLvlLbl val="0"/>
      </c:catAx>
      <c:valAx>
        <c:axId val="223690328"/>
        <c:scaling>
          <c:orientation val="minMax"/>
          <c:max val="1"/>
        </c:scaling>
        <c:delete val="0"/>
        <c:axPos val="l"/>
        <c:majorGridlines>
          <c:spPr>
            <a:ln>
              <a:prstDash val="dash"/>
            </a:ln>
          </c:spPr>
        </c:majorGridlines>
        <c:numFmt formatCode="0.0%" sourceLinked="1"/>
        <c:majorTickMark val="out"/>
        <c:minorTickMark val="none"/>
        <c:tickLblPos val="nextTo"/>
        <c:txPr>
          <a:bodyPr/>
          <a:lstStyle/>
          <a:p>
            <a:pPr>
              <a:defRPr sz="900"/>
            </a:pPr>
            <a:endParaRPr lang="en-US"/>
          </a:p>
        </c:txPr>
        <c:crossAx val="223431192"/>
        <c:crosses val="autoZero"/>
        <c:crossBetween val="between"/>
      </c:valAx>
    </c:plotArea>
    <c:legend>
      <c:legendPos val="b"/>
      <c:layout>
        <c:manualLayout>
          <c:xMode val="edge"/>
          <c:yMode val="edge"/>
          <c:x val="7.0480108578230852E-2"/>
          <c:y val="0.89331706954179524"/>
          <c:w val="0.85903957738972569"/>
          <c:h val="0.10109243553212928"/>
        </c:manualLayout>
      </c:layou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24678490333217E-2"/>
          <c:y val="2.723379168716375E-2"/>
          <c:w val="0.94075321509666787"/>
          <c:h val="0.81261058664605246"/>
        </c:manualLayout>
      </c:layout>
      <c:barChart>
        <c:barDir val="col"/>
        <c:grouping val="clustered"/>
        <c:varyColors val="0"/>
        <c:ser>
          <c:idx val="3"/>
          <c:order val="3"/>
          <c:tx>
            <c:strRef>
              <c:f>'Further Analysis Sheet'!$C$47</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Sheet'!$D$43:$O$43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Sheet'!$D$47:$O$47</c:f>
              <c:numCache>
                <c:formatCode>0.0%</c:formatCode>
                <c:ptCount val="12"/>
                <c:pt idx="0">
                  <c:v>4.6199999999999998E-2</c:v>
                </c:pt>
                <c:pt idx="1">
                  <c:v>3.9199999999999999E-2</c:v>
                </c:pt>
                <c:pt idx="2">
                  <c:v>3.7999999999999999E-2</c:v>
                </c:pt>
                <c:pt idx="3">
                  <c:v>4.41E-2</c:v>
                </c:pt>
                <c:pt idx="4">
                  <c:v>4.3999999999999997E-2</c:v>
                </c:pt>
                <c:pt idx="5">
                  <c:v>4.53E-2</c:v>
                </c:pt>
                <c:pt idx="6">
                  <c:v>0</c:v>
                </c:pt>
                <c:pt idx="7">
                  <c:v>0</c:v>
                </c:pt>
                <c:pt idx="8">
                  <c:v>0</c:v>
                </c:pt>
                <c:pt idx="9">
                  <c:v>0</c:v>
                </c:pt>
                <c:pt idx="10">
                  <c:v>0</c:v>
                </c:pt>
                <c:pt idx="11">
                  <c:v>0</c:v>
                </c:pt>
              </c:numCache>
            </c:numRef>
          </c:val>
          <c:extLst>
            <c:ext xmlns:c16="http://schemas.microsoft.com/office/drawing/2014/chart" uri="{C3380CC4-5D6E-409C-BE32-E72D297353CC}">
              <c16:uniqueId val="{00000000-0019-4FB7-9188-4F1824291558}"/>
            </c:ext>
          </c:extLst>
        </c:ser>
        <c:dLbls>
          <c:showLegendKey val="0"/>
          <c:showVal val="0"/>
          <c:showCatName val="0"/>
          <c:showSerName val="0"/>
          <c:showPercent val="0"/>
          <c:showBubbleSize val="0"/>
        </c:dLbls>
        <c:gapWidth val="60"/>
        <c:axId val="223691112"/>
        <c:axId val="223691504"/>
      </c:barChart>
      <c:lineChart>
        <c:grouping val="standard"/>
        <c:varyColors val="0"/>
        <c:ser>
          <c:idx val="0"/>
          <c:order val="0"/>
          <c:tx>
            <c:strRef>
              <c:f>'Further Analysis Sheet'!$C$44</c:f>
              <c:strCache>
                <c:ptCount val="1"/>
                <c:pt idx="0">
                  <c:v>Target</c:v>
                </c:pt>
              </c:strCache>
            </c:strRef>
          </c:tx>
          <c:spPr>
            <a:ln>
              <a:solidFill>
                <a:srgbClr val="00B050"/>
              </a:solidFill>
            </a:ln>
          </c:spPr>
          <c:marker>
            <c:symbol val="none"/>
          </c:marker>
          <c:cat>
            <c:strRef>
              <c:f>'Further Analysis Sheet'!$D$43:$O$43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Sheet'!$D$44:$O$44</c:f>
              <c:numCache>
                <c:formatCode>0.0%</c:formatCode>
                <c:ptCount val="12"/>
                <c:pt idx="0">
                  <c:v>0.04</c:v>
                </c:pt>
                <c:pt idx="1">
                  <c:v>0.04</c:v>
                </c:pt>
                <c:pt idx="2">
                  <c:v>0.04</c:v>
                </c:pt>
                <c:pt idx="3">
                  <c:v>0.04</c:v>
                </c:pt>
                <c:pt idx="4">
                  <c:v>0.04</c:v>
                </c:pt>
                <c:pt idx="5">
                  <c:v>0.04</c:v>
                </c:pt>
                <c:pt idx="6">
                  <c:v>0.04</c:v>
                </c:pt>
                <c:pt idx="7">
                  <c:v>0.04</c:v>
                </c:pt>
                <c:pt idx="8">
                  <c:v>0.04</c:v>
                </c:pt>
                <c:pt idx="9">
                  <c:v>0.04</c:v>
                </c:pt>
                <c:pt idx="10">
                  <c:v>0.04</c:v>
                </c:pt>
                <c:pt idx="11">
                  <c:v>0.04</c:v>
                </c:pt>
              </c:numCache>
            </c:numRef>
          </c:val>
          <c:smooth val="0"/>
          <c:extLst>
            <c:ext xmlns:c16="http://schemas.microsoft.com/office/drawing/2014/chart" uri="{C3380CC4-5D6E-409C-BE32-E72D297353CC}">
              <c16:uniqueId val="{00000001-0019-4FB7-9188-4F1824291558}"/>
            </c:ext>
          </c:extLst>
        </c:ser>
        <c:ser>
          <c:idx val="1"/>
          <c:order val="1"/>
          <c:tx>
            <c:strRef>
              <c:f>'Further Analysis Sheet'!$C$45</c:f>
              <c:strCache>
                <c:ptCount val="1"/>
                <c:pt idx="0">
                  <c:v>Target +10%</c:v>
                </c:pt>
              </c:strCache>
            </c:strRef>
          </c:tx>
          <c:spPr>
            <a:ln>
              <a:solidFill>
                <a:srgbClr val="C00000"/>
              </a:solidFill>
            </a:ln>
          </c:spPr>
          <c:marker>
            <c:symbol val="none"/>
          </c:marker>
          <c:cat>
            <c:strRef>
              <c:f>'Further Analysis Sheet'!$D$43:$O$43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Sheet'!$D$45:$O$45</c:f>
              <c:numCache>
                <c:formatCode>0.0%</c:formatCode>
                <c:ptCount val="12"/>
                <c:pt idx="0">
                  <c:v>4.4000000000000004E-2</c:v>
                </c:pt>
                <c:pt idx="1">
                  <c:v>4.4000000000000004E-2</c:v>
                </c:pt>
                <c:pt idx="2">
                  <c:v>4.4000000000000004E-2</c:v>
                </c:pt>
                <c:pt idx="3">
                  <c:v>4.4000000000000004E-2</c:v>
                </c:pt>
                <c:pt idx="4">
                  <c:v>4.4000000000000004E-2</c:v>
                </c:pt>
                <c:pt idx="5">
                  <c:v>4.4000000000000004E-2</c:v>
                </c:pt>
                <c:pt idx="6">
                  <c:v>4.4000000000000004E-2</c:v>
                </c:pt>
                <c:pt idx="7">
                  <c:v>4.4000000000000004E-2</c:v>
                </c:pt>
                <c:pt idx="8">
                  <c:v>4.4000000000000004E-2</c:v>
                </c:pt>
                <c:pt idx="9">
                  <c:v>4.4000000000000004E-2</c:v>
                </c:pt>
                <c:pt idx="10">
                  <c:v>4.4000000000000004E-2</c:v>
                </c:pt>
                <c:pt idx="11">
                  <c:v>4.4000000000000004E-2</c:v>
                </c:pt>
              </c:numCache>
            </c:numRef>
          </c:val>
          <c:smooth val="0"/>
          <c:extLst>
            <c:ext xmlns:c16="http://schemas.microsoft.com/office/drawing/2014/chart" uri="{C3380CC4-5D6E-409C-BE32-E72D297353CC}">
              <c16:uniqueId val="{00000002-0019-4FB7-9188-4F1824291558}"/>
            </c:ext>
          </c:extLst>
        </c:ser>
        <c:ser>
          <c:idx val="2"/>
          <c:order val="2"/>
          <c:tx>
            <c:strRef>
              <c:f>'Further Analysis Sheet'!$C$46</c:f>
              <c:strCache>
                <c:ptCount val="1"/>
                <c:pt idx="0">
                  <c:v>Target -10%</c:v>
                </c:pt>
              </c:strCache>
            </c:strRef>
          </c:tx>
          <c:spPr>
            <a:ln>
              <a:solidFill>
                <a:srgbClr val="7030A0"/>
              </a:solidFill>
            </a:ln>
          </c:spPr>
          <c:marker>
            <c:symbol val="none"/>
          </c:marker>
          <c:cat>
            <c:strRef>
              <c:f>'Further Analysis Sheet'!$D$43:$O$43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Sheet'!$D$46:$O$46</c:f>
              <c:numCache>
                <c:formatCode>0.0%</c:formatCode>
                <c:ptCount val="12"/>
                <c:pt idx="0">
                  <c:v>3.6000000000000004E-2</c:v>
                </c:pt>
                <c:pt idx="1">
                  <c:v>3.6000000000000004E-2</c:v>
                </c:pt>
                <c:pt idx="2">
                  <c:v>3.6000000000000004E-2</c:v>
                </c:pt>
                <c:pt idx="3">
                  <c:v>3.6000000000000004E-2</c:v>
                </c:pt>
                <c:pt idx="4">
                  <c:v>3.6000000000000004E-2</c:v>
                </c:pt>
                <c:pt idx="5">
                  <c:v>3.6000000000000004E-2</c:v>
                </c:pt>
                <c:pt idx="6">
                  <c:v>3.6000000000000004E-2</c:v>
                </c:pt>
                <c:pt idx="7">
                  <c:v>3.6000000000000004E-2</c:v>
                </c:pt>
                <c:pt idx="8">
                  <c:v>3.6000000000000004E-2</c:v>
                </c:pt>
                <c:pt idx="9">
                  <c:v>3.6000000000000004E-2</c:v>
                </c:pt>
                <c:pt idx="10">
                  <c:v>3.6000000000000004E-2</c:v>
                </c:pt>
                <c:pt idx="11">
                  <c:v>3.6000000000000004E-2</c:v>
                </c:pt>
              </c:numCache>
            </c:numRef>
          </c:val>
          <c:smooth val="0"/>
          <c:extLst>
            <c:ext xmlns:c16="http://schemas.microsoft.com/office/drawing/2014/chart" uri="{C3380CC4-5D6E-409C-BE32-E72D297353CC}">
              <c16:uniqueId val="{00000003-0019-4FB7-9188-4F1824291558}"/>
            </c:ext>
          </c:extLst>
        </c:ser>
        <c:dLbls>
          <c:showLegendKey val="0"/>
          <c:showVal val="0"/>
          <c:showCatName val="0"/>
          <c:showSerName val="0"/>
          <c:showPercent val="0"/>
          <c:showBubbleSize val="0"/>
        </c:dLbls>
        <c:marker val="1"/>
        <c:smooth val="0"/>
        <c:axId val="223691112"/>
        <c:axId val="223691504"/>
      </c:lineChart>
      <c:catAx>
        <c:axId val="223691112"/>
        <c:scaling>
          <c:orientation val="minMax"/>
        </c:scaling>
        <c:delete val="0"/>
        <c:axPos val="b"/>
        <c:numFmt formatCode="General" sourceLinked="0"/>
        <c:majorTickMark val="out"/>
        <c:minorTickMark val="none"/>
        <c:tickLblPos val="nextTo"/>
        <c:txPr>
          <a:bodyPr/>
          <a:lstStyle/>
          <a:p>
            <a:pPr>
              <a:defRPr sz="800"/>
            </a:pPr>
            <a:endParaRPr lang="en-US"/>
          </a:p>
        </c:txPr>
        <c:crossAx val="223691504"/>
        <c:crosses val="autoZero"/>
        <c:auto val="1"/>
        <c:lblAlgn val="ctr"/>
        <c:lblOffset val="100"/>
        <c:noMultiLvlLbl val="0"/>
      </c:catAx>
      <c:valAx>
        <c:axId val="223691504"/>
        <c:scaling>
          <c:orientation val="minMax"/>
        </c:scaling>
        <c:delete val="0"/>
        <c:axPos val="l"/>
        <c:majorGridlines>
          <c:spPr>
            <a:ln>
              <a:prstDash val="dash"/>
            </a:ln>
          </c:spPr>
        </c:majorGridlines>
        <c:numFmt formatCode="0.0%" sourceLinked="1"/>
        <c:majorTickMark val="out"/>
        <c:minorTickMark val="none"/>
        <c:tickLblPos val="nextTo"/>
        <c:txPr>
          <a:bodyPr/>
          <a:lstStyle/>
          <a:p>
            <a:pPr>
              <a:defRPr sz="900"/>
            </a:pPr>
            <a:endParaRPr lang="en-US"/>
          </a:p>
        </c:txPr>
        <c:crossAx val="223691112"/>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3863830604989403E-2"/>
          <c:y val="2.723379168716375E-2"/>
          <c:w val="0.96312479244526028"/>
          <c:h val="0.81261058664605246"/>
        </c:manualLayout>
      </c:layout>
      <c:barChart>
        <c:barDir val="col"/>
        <c:grouping val="clustered"/>
        <c:varyColors val="0"/>
        <c:ser>
          <c:idx val="3"/>
          <c:order val="3"/>
          <c:tx>
            <c:strRef>
              <c:f>'Further Analysis Sheet'!$C$52</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Sheet'!$D$48:$O$48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Sheet'!$D$52:$O$52</c:f>
              <c:numCache>
                <c:formatCode>General</c:formatCode>
                <c:ptCount val="12"/>
                <c:pt idx="0">
                  <c:v>4.5999999999999996</c:v>
                </c:pt>
                <c:pt idx="1">
                  <c:v>3.5</c:v>
                </c:pt>
                <c:pt idx="2">
                  <c:v>3</c:v>
                </c:pt>
                <c:pt idx="3">
                  <c:v>3.2</c:v>
                </c:pt>
                <c:pt idx="4">
                  <c:v>3</c:v>
                </c:pt>
                <c:pt idx="5">
                  <c:v>3.2</c:v>
                </c:pt>
                <c:pt idx="6">
                  <c:v>0</c:v>
                </c:pt>
                <c:pt idx="7">
                  <c:v>0</c:v>
                </c:pt>
                <c:pt idx="8">
                  <c:v>0</c:v>
                </c:pt>
                <c:pt idx="9">
                  <c:v>0</c:v>
                </c:pt>
                <c:pt idx="10">
                  <c:v>0</c:v>
                </c:pt>
                <c:pt idx="11">
                  <c:v>0</c:v>
                </c:pt>
              </c:numCache>
            </c:numRef>
          </c:val>
          <c:extLst>
            <c:ext xmlns:c16="http://schemas.microsoft.com/office/drawing/2014/chart" uri="{C3380CC4-5D6E-409C-BE32-E72D297353CC}">
              <c16:uniqueId val="{00000000-62E8-412F-A1D3-73A7AD189F76}"/>
            </c:ext>
          </c:extLst>
        </c:ser>
        <c:dLbls>
          <c:showLegendKey val="0"/>
          <c:showVal val="0"/>
          <c:showCatName val="0"/>
          <c:showSerName val="0"/>
          <c:showPercent val="0"/>
          <c:showBubbleSize val="0"/>
        </c:dLbls>
        <c:gapWidth val="60"/>
        <c:axId val="223692288"/>
        <c:axId val="223692680"/>
      </c:barChart>
      <c:lineChart>
        <c:grouping val="standard"/>
        <c:varyColors val="0"/>
        <c:ser>
          <c:idx val="0"/>
          <c:order val="0"/>
          <c:tx>
            <c:strRef>
              <c:f>'Further Analysis Sheet'!$C$49</c:f>
              <c:strCache>
                <c:ptCount val="1"/>
                <c:pt idx="0">
                  <c:v>Target</c:v>
                </c:pt>
              </c:strCache>
            </c:strRef>
          </c:tx>
          <c:spPr>
            <a:ln>
              <a:solidFill>
                <a:srgbClr val="00B050"/>
              </a:solidFill>
            </a:ln>
          </c:spPr>
          <c:marker>
            <c:symbol val="none"/>
          </c:marker>
          <c:cat>
            <c:strRef>
              <c:f>'Further Analysis Sheet'!$D$48:$O$48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Sheet'!$D$49:$O$49</c:f>
              <c:numCache>
                <c:formatCode>0.0</c:formatCode>
                <c:ptCount val="12"/>
                <c:pt idx="0">
                  <c:v>5.3992425389650496</c:v>
                </c:pt>
                <c:pt idx="1">
                  <c:v>4.7404685820334738</c:v>
                </c:pt>
                <c:pt idx="2">
                  <c:v>3.7883840310362968</c:v>
                </c:pt>
                <c:pt idx="3">
                  <c:v>3.7735198188412018</c:v>
                </c:pt>
                <c:pt idx="4">
                  <c:v>3.8060078640931705</c:v>
                </c:pt>
                <c:pt idx="5">
                  <c:v>3.8879493209583038</c:v>
                </c:pt>
                <c:pt idx="6">
                  <c:v>5.131365012180785</c:v>
                </c:pt>
                <c:pt idx="7">
                  <c:v>6.3839002348072516</c:v>
                </c:pt>
                <c:pt idx="8">
                  <c:v>7.0188814726413344</c:v>
                </c:pt>
                <c:pt idx="9">
                  <c:v>7.6455958655232106</c:v>
                </c:pt>
                <c:pt idx="10">
                  <c:v>6.6988396956729241</c:v>
                </c:pt>
                <c:pt idx="11">
                  <c:v>6.725845563247006</c:v>
                </c:pt>
              </c:numCache>
            </c:numRef>
          </c:val>
          <c:smooth val="0"/>
          <c:extLst>
            <c:ext xmlns:c16="http://schemas.microsoft.com/office/drawing/2014/chart" uri="{C3380CC4-5D6E-409C-BE32-E72D297353CC}">
              <c16:uniqueId val="{00000001-62E8-412F-A1D3-73A7AD189F76}"/>
            </c:ext>
          </c:extLst>
        </c:ser>
        <c:ser>
          <c:idx val="1"/>
          <c:order val="1"/>
          <c:tx>
            <c:strRef>
              <c:f>'Further Analysis Sheet'!$C$50</c:f>
              <c:strCache>
                <c:ptCount val="1"/>
                <c:pt idx="0">
                  <c:v>Target +10%</c:v>
                </c:pt>
              </c:strCache>
            </c:strRef>
          </c:tx>
          <c:spPr>
            <a:ln>
              <a:solidFill>
                <a:srgbClr val="C00000"/>
              </a:solidFill>
            </a:ln>
          </c:spPr>
          <c:marker>
            <c:symbol val="none"/>
          </c:marker>
          <c:cat>
            <c:strRef>
              <c:f>'Further Analysis Sheet'!$D$48:$O$48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Sheet'!$D$50:$O$50</c:f>
              <c:numCache>
                <c:formatCode>0.0</c:formatCode>
                <c:ptCount val="12"/>
                <c:pt idx="0">
                  <c:v>5.9391667928615552</c:v>
                </c:pt>
                <c:pt idx="1">
                  <c:v>5.2145154402368217</c:v>
                </c:pt>
                <c:pt idx="2">
                  <c:v>4.1672224341399264</c:v>
                </c:pt>
                <c:pt idx="3">
                  <c:v>4.150871800725322</c:v>
                </c:pt>
                <c:pt idx="4">
                  <c:v>4.186608650502488</c:v>
                </c:pt>
                <c:pt idx="5">
                  <c:v>4.2767442530541349</c:v>
                </c:pt>
                <c:pt idx="6">
                  <c:v>5.6445015133988639</c:v>
                </c:pt>
                <c:pt idx="7">
                  <c:v>7.0222902582879776</c:v>
                </c:pt>
                <c:pt idx="8">
                  <c:v>7.720769619905469</c:v>
                </c:pt>
                <c:pt idx="9">
                  <c:v>8.4101554520755322</c:v>
                </c:pt>
                <c:pt idx="10">
                  <c:v>7.3687236652402168</c:v>
                </c:pt>
                <c:pt idx="11">
                  <c:v>7.3984301195717075</c:v>
                </c:pt>
              </c:numCache>
            </c:numRef>
          </c:val>
          <c:smooth val="0"/>
          <c:extLst>
            <c:ext xmlns:c16="http://schemas.microsoft.com/office/drawing/2014/chart" uri="{C3380CC4-5D6E-409C-BE32-E72D297353CC}">
              <c16:uniqueId val="{00000002-62E8-412F-A1D3-73A7AD189F76}"/>
            </c:ext>
          </c:extLst>
        </c:ser>
        <c:ser>
          <c:idx val="2"/>
          <c:order val="2"/>
          <c:tx>
            <c:strRef>
              <c:f>'Further Analysis Sheet'!$C$51</c:f>
              <c:strCache>
                <c:ptCount val="1"/>
                <c:pt idx="0">
                  <c:v>Target -10%</c:v>
                </c:pt>
              </c:strCache>
            </c:strRef>
          </c:tx>
          <c:spPr>
            <a:ln>
              <a:solidFill>
                <a:srgbClr val="7030A0"/>
              </a:solidFill>
            </a:ln>
          </c:spPr>
          <c:marker>
            <c:symbol val="none"/>
          </c:marker>
          <c:cat>
            <c:strRef>
              <c:f>'Further Analysis Sheet'!$D$48:$O$48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Sheet'!$D$51:$O$51</c:f>
              <c:numCache>
                <c:formatCode>0.0</c:formatCode>
                <c:ptCount val="12"/>
                <c:pt idx="0">
                  <c:v>4.8593182850685448</c:v>
                </c:pt>
                <c:pt idx="1">
                  <c:v>4.2664217238301267</c:v>
                </c:pt>
                <c:pt idx="2">
                  <c:v>3.4095456279326672</c:v>
                </c:pt>
                <c:pt idx="3">
                  <c:v>3.3961678369570816</c:v>
                </c:pt>
                <c:pt idx="4">
                  <c:v>3.4254070776838534</c:v>
                </c:pt>
                <c:pt idx="5">
                  <c:v>3.4991543888624737</c:v>
                </c:pt>
                <c:pt idx="6">
                  <c:v>4.618228510962707</c:v>
                </c:pt>
                <c:pt idx="7">
                  <c:v>5.7455102113265264</c:v>
                </c:pt>
                <c:pt idx="8">
                  <c:v>6.3169933253772008</c:v>
                </c:pt>
                <c:pt idx="9">
                  <c:v>6.8810362789708899</c:v>
                </c:pt>
                <c:pt idx="10">
                  <c:v>6.0289557261056315</c:v>
                </c:pt>
                <c:pt idx="11">
                  <c:v>6.0532610069223054</c:v>
                </c:pt>
              </c:numCache>
            </c:numRef>
          </c:val>
          <c:smooth val="0"/>
          <c:extLst>
            <c:ext xmlns:c16="http://schemas.microsoft.com/office/drawing/2014/chart" uri="{C3380CC4-5D6E-409C-BE32-E72D297353CC}">
              <c16:uniqueId val="{00000003-62E8-412F-A1D3-73A7AD189F76}"/>
            </c:ext>
          </c:extLst>
        </c:ser>
        <c:dLbls>
          <c:showLegendKey val="0"/>
          <c:showVal val="0"/>
          <c:showCatName val="0"/>
          <c:showSerName val="0"/>
          <c:showPercent val="0"/>
          <c:showBubbleSize val="0"/>
        </c:dLbls>
        <c:marker val="1"/>
        <c:smooth val="0"/>
        <c:axId val="223692288"/>
        <c:axId val="223692680"/>
      </c:lineChart>
      <c:catAx>
        <c:axId val="223692288"/>
        <c:scaling>
          <c:orientation val="minMax"/>
        </c:scaling>
        <c:delete val="0"/>
        <c:axPos val="b"/>
        <c:numFmt formatCode="General" sourceLinked="0"/>
        <c:majorTickMark val="out"/>
        <c:minorTickMark val="none"/>
        <c:tickLblPos val="nextTo"/>
        <c:txPr>
          <a:bodyPr/>
          <a:lstStyle/>
          <a:p>
            <a:pPr>
              <a:defRPr sz="800"/>
            </a:pPr>
            <a:endParaRPr lang="en-US"/>
          </a:p>
        </c:txPr>
        <c:crossAx val="223692680"/>
        <c:crosses val="autoZero"/>
        <c:auto val="1"/>
        <c:lblAlgn val="ctr"/>
        <c:lblOffset val="100"/>
        <c:noMultiLvlLbl val="0"/>
      </c:catAx>
      <c:valAx>
        <c:axId val="223692680"/>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692288"/>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0934204713682086E-2"/>
          <c:y val="4.7275147799158576E-2"/>
          <c:w val="0.92434165933209911"/>
          <c:h val="0.81692322210903756"/>
        </c:manualLayout>
      </c:layout>
      <c:lineChart>
        <c:grouping val="standard"/>
        <c:varyColors val="0"/>
        <c:ser>
          <c:idx val="2"/>
          <c:order val="2"/>
          <c:tx>
            <c:strRef>
              <c:f>'Further Analysis Sheet'!$T$6</c:f>
              <c:strCache>
                <c:ptCount val="1"/>
                <c:pt idx="0">
                  <c:v>Previous Year</c:v>
                </c:pt>
              </c:strCache>
            </c:strRef>
          </c:tx>
          <c:spPr>
            <a:ln>
              <a:solidFill>
                <a:srgbClr val="0070C0"/>
              </a:solidFill>
              <a:prstDash val="sysDash"/>
            </a:ln>
          </c:spPr>
          <c:marker>
            <c:symbol val="none"/>
          </c:marker>
          <c:cat>
            <c:strRef>
              <c:f>'Further Analysis Sheet'!$U$3:$AE$3</c:f>
              <c:strCache>
                <c:ptCount val="11"/>
                <c:pt idx="0">
                  <c:v>Apr</c:v>
                </c:pt>
                <c:pt idx="1">
                  <c:v>May</c:v>
                </c:pt>
                <c:pt idx="2">
                  <c:v>June</c:v>
                </c:pt>
                <c:pt idx="3">
                  <c:v>July</c:v>
                </c:pt>
                <c:pt idx="4">
                  <c:v>Aug</c:v>
                </c:pt>
                <c:pt idx="5">
                  <c:v>Sept</c:v>
                </c:pt>
                <c:pt idx="6">
                  <c:v>Oct</c:v>
                </c:pt>
                <c:pt idx="7">
                  <c:v>Nov</c:v>
                </c:pt>
                <c:pt idx="8">
                  <c:v>Dec</c:v>
                </c:pt>
                <c:pt idx="9">
                  <c:v>Jan</c:v>
                </c:pt>
                <c:pt idx="10">
                  <c:v>Feb</c:v>
                </c:pt>
              </c:strCache>
            </c:strRef>
          </c:cat>
          <c:val>
            <c:numRef>
              <c:f>'Further Analysis Sheet'!$U$6:$AE$6</c:f>
              <c:numCache>
                <c:formatCode>General</c:formatCode>
                <c:ptCount val="11"/>
                <c:pt idx="0">
                  <c:v>0</c:v>
                </c:pt>
                <c:pt idx="1">
                  <c:v>0</c:v>
                </c:pt>
                <c:pt idx="2">
                  <c:v>0</c:v>
                </c:pt>
                <c:pt idx="3">
                  <c:v>0</c:v>
                </c:pt>
                <c:pt idx="4">
                  <c:v>0</c:v>
                </c:pt>
                <c:pt idx="5">
                  <c:v>0</c:v>
                </c:pt>
                <c:pt idx="6">
                  <c:v>0</c:v>
                </c:pt>
                <c:pt idx="7">
                  <c:v>0</c:v>
                </c:pt>
                <c:pt idx="8">
                  <c:v>0</c:v>
                </c:pt>
                <c:pt idx="9">
                  <c:v>0</c:v>
                </c:pt>
                <c:pt idx="10">
                  <c:v>0</c:v>
                </c:pt>
              </c:numCache>
            </c:numRef>
          </c:val>
          <c:smooth val="0"/>
          <c:extLst>
            <c:ext xmlns:c16="http://schemas.microsoft.com/office/drawing/2014/chart" uri="{C3380CC4-5D6E-409C-BE32-E72D297353CC}">
              <c16:uniqueId val="{00000000-C931-4F1D-ABCF-A1CC47E67B39}"/>
            </c:ext>
          </c:extLst>
        </c:ser>
        <c:ser>
          <c:idx val="3"/>
          <c:order val="3"/>
          <c:tx>
            <c:strRef>
              <c:f>'Further Analysis Sheet'!$T$7</c:f>
              <c:strCache>
                <c:ptCount val="1"/>
                <c:pt idx="0">
                  <c:v>Performance</c:v>
                </c:pt>
              </c:strCache>
            </c:strRef>
          </c:tx>
          <c:spPr>
            <a:ln>
              <a:solidFill>
                <a:schemeClr val="tx1"/>
              </a:solidFill>
            </a:ln>
          </c:spPr>
          <c:marker>
            <c:symbol val="none"/>
          </c:marker>
          <c:cat>
            <c:strRef>
              <c:f>'Further Analysis Sheet'!$U$3:$AE$3</c:f>
              <c:strCache>
                <c:ptCount val="11"/>
                <c:pt idx="0">
                  <c:v>Apr</c:v>
                </c:pt>
                <c:pt idx="1">
                  <c:v>May</c:v>
                </c:pt>
                <c:pt idx="2">
                  <c:v>June</c:v>
                </c:pt>
                <c:pt idx="3">
                  <c:v>July</c:v>
                </c:pt>
                <c:pt idx="4">
                  <c:v>Aug</c:v>
                </c:pt>
                <c:pt idx="5">
                  <c:v>Sept</c:v>
                </c:pt>
                <c:pt idx="6">
                  <c:v>Oct</c:v>
                </c:pt>
                <c:pt idx="7">
                  <c:v>Nov</c:v>
                </c:pt>
                <c:pt idx="8">
                  <c:v>Dec</c:v>
                </c:pt>
                <c:pt idx="9">
                  <c:v>Jan</c:v>
                </c:pt>
                <c:pt idx="10">
                  <c:v>Feb</c:v>
                </c:pt>
              </c:strCache>
            </c:strRef>
          </c:cat>
          <c:val>
            <c:numRef>
              <c:f>'Further Analysis Sheet'!$U$7:$AE$7</c:f>
              <c:numCache>
                <c:formatCode>General</c:formatCode>
                <c:ptCount val="11"/>
                <c:pt idx="0">
                  <c:v>1498</c:v>
                </c:pt>
                <c:pt idx="1">
                  <c:v>3343</c:v>
                </c:pt>
                <c:pt idx="2">
                  <c:v>5184</c:v>
                </c:pt>
                <c:pt idx="3">
                  <c:v>7156</c:v>
                </c:pt>
                <c:pt idx="4">
                  <c:v>9256</c:v>
                </c:pt>
                <c:pt idx="5">
                  <c:v>10883</c:v>
                </c:pt>
                <c:pt idx="6">
                  <c:v>10883</c:v>
                </c:pt>
                <c:pt idx="7">
                  <c:v>10883</c:v>
                </c:pt>
                <c:pt idx="8">
                  <c:v>10883</c:v>
                </c:pt>
                <c:pt idx="9">
                  <c:v>10883</c:v>
                </c:pt>
                <c:pt idx="10">
                  <c:v>10883</c:v>
                </c:pt>
              </c:numCache>
            </c:numRef>
          </c:val>
          <c:smooth val="0"/>
          <c:extLst>
            <c:ext xmlns:c16="http://schemas.microsoft.com/office/drawing/2014/chart" uri="{C3380CC4-5D6E-409C-BE32-E72D297353CC}">
              <c16:uniqueId val="{00000001-C931-4F1D-ABCF-A1CC47E67B39}"/>
            </c:ext>
          </c:extLst>
        </c:ser>
        <c:dLbls>
          <c:showLegendKey val="0"/>
          <c:showVal val="0"/>
          <c:showCatName val="0"/>
          <c:showSerName val="0"/>
          <c:showPercent val="0"/>
          <c:showBubbleSize val="0"/>
        </c:dLbls>
        <c:smooth val="0"/>
        <c:axId val="248579712"/>
        <c:axId val="248580104"/>
        <c:extLst>
          <c:ext xmlns:c15="http://schemas.microsoft.com/office/drawing/2012/chart" uri="{02D57815-91ED-43cb-92C2-25804820EDAC}">
            <c15:filteredLineSeries>
              <c15:ser>
                <c:idx val="0"/>
                <c:order val="0"/>
                <c:tx>
                  <c:strRef>
                    <c:extLst>
                      <c:ext uri="{02D57815-91ED-43cb-92C2-25804820EDAC}">
                        <c15:formulaRef>
                          <c15:sqref>'Further Analysis Sheet'!$T$4</c15:sqref>
                        </c15:formulaRef>
                      </c:ext>
                    </c:extLst>
                    <c:strCache>
                      <c:ptCount val="1"/>
                    </c:strCache>
                  </c:strRef>
                </c:tx>
                <c:spPr>
                  <a:ln>
                    <a:solidFill>
                      <a:srgbClr val="00B050"/>
                    </a:solidFill>
                    <a:prstDash val="sysDash"/>
                  </a:ln>
                </c:spPr>
                <c:marker>
                  <c:symbol val="none"/>
                </c:marker>
                <c:cat>
                  <c:strRef>
                    <c:extLst>
                      <c:ext uri="{02D57815-91ED-43cb-92C2-25804820EDAC}">
                        <c15:formulaRef>
                          <c15:sqref>'Further Analysis Sheet'!$U$3:$AE$3</c15:sqref>
                        </c15:formulaRef>
                      </c:ext>
                    </c:extLst>
                    <c:strCache>
                      <c:ptCount val="11"/>
                      <c:pt idx="0">
                        <c:v>Apr</c:v>
                      </c:pt>
                      <c:pt idx="1">
                        <c:v>May</c:v>
                      </c:pt>
                      <c:pt idx="2">
                        <c:v>June</c:v>
                      </c:pt>
                      <c:pt idx="3">
                        <c:v>July</c:v>
                      </c:pt>
                      <c:pt idx="4">
                        <c:v>Aug</c:v>
                      </c:pt>
                      <c:pt idx="5">
                        <c:v>Sept</c:v>
                      </c:pt>
                      <c:pt idx="6">
                        <c:v>Oct</c:v>
                      </c:pt>
                      <c:pt idx="7">
                        <c:v>Nov</c:v>
                      </c:pt>
                      <c:pt idx="8">
                        <c:v>Dec</c:v>
                      </c:pt>
                      <c:pt idx="9">
                        <c:v>Jan</c:v>
                      </c:pt>
                      <c:pt idx="10">
                        <c:v>Feb</c:v>
                      </c:pt>
                    </c:strCache>
                  </c:strRef>
                </c:cat>
                <c:val>
                  <c:numRef>
                    <c:extLst>
                      <c:ext uri="{02D57815-91ED-43cb-92C2-25804820EDAC}">
                        <c15:formulaRef>
                          <c15:sqref>'Further Analysis Sheet'!$U$4:$AE$4</c15:sqref>
                        </c15:formulaRef>
                      </c:ext>
                    </c:extLst>
                    <c:numCache>
                      <c:formatCode>General</c:formatCode>
                      <c:ptCount val="11"/>
                    </c:numCache>
                  </c:numRef>
                </c:val>
                <c:smooth val="0"/>
                <c:extLst>
                  <c:ext xmlns:c16="http://schemas.microsoft.com/office/drawing/2014/chart" uri="{C3380CC4-5D6E-409C-BE32-E72D297353CC}">
                    <c16:uniqueId val="{00000002-C931-4F1D-ABCF-A1CC47E67B39}"/>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'Further Analysis Sheet'!$T$5</c15:sqref>
                        </c15:formulaRef>
                      </c:ext>
                    </c:extLst>
                    <c:strCache>
                      <c:ptCount val="1"/>
                    </c:strCache>
                  </c:strRef>
                </c:tx>
                <c:spPr>
                  <a:ln>
                    <a:prstDash val="sysDash"/>
                  </a:ln>
                </c:spPr>
                <c:marker>
                  <c:symbol val="none"/>
                </c:marker>
                <c:cat>
                  <c:strRef>
                    <c:extLst xmlns:c15="http://schemas.microsoft.com/office/drawing/2012/chart">
                      <c:ext xmlns:c15="http://schemas.microsoft.com/office/drawing/2012/chart" uri="{02D57815-91ED-43cb-92C2-25804820EDAC}">
                        <c15:formulaRef>
                          <c15:sqref>'Further Analysis Sheet'!$U$3:$AE$3</c15:sqref>
                        </c15:formulaRef>
                      </c:ext>
                    </c:extLst>
                    <c:strCache>
                      <c:ptCount val="11"/>
                      <c:pt idx="0">
                        <c:v>Apr</c:v>
                      </c:pt>
                      <c:pt idx="1">
                        <c:v>May</c:v>
                      </c:pt>
                      <c:pt idx="2">
                        <c:v>June</c:v>
                      </c:pt>
                      <c:pt idx="3">
                        <c:v>July</c:v>
                      </c:pt>
                      <c:pt idx="4">
                        <c:v>Aug</c:v>
                      </c:pt>
                      <c:pt idx="5">
                        <c:v>Sept</c:v>
                      </c:pt>
                      <c:pt idx="6">
                        <c:v>Oct</c:v>
                      </c:pt>
                      <c:pt idx="7">
                        <c:v>Nov</c:v>
                      </c:pt>
                      <c:pt idx="8">
                        <c:v>Dec</c:v>
                      </c:pt>
                      <c:pt idx="9">
                        <c:v>Jan</c:v>
                      </c:pt>
                      <c:pt idx="10">
                        <c:v>Feb</c:v>
                      </c:pt>
                    </c:strCache>
                  </c:strRef>
                </c:cat>
                <c:val>
                  <c:numRef>
                    <c:extLst xmlns:c15="http://schemas.microsoft.com/office/drawing/2012/chart">
                      <c:ext xmlns:c15="http://schemas.microsoft.com/office/drawing/2012/chart" uri="{02D57815-91ED-43cb-92C2-25804820EDAC}">
                        <c15:formulaRef>
                          <c15:sqref>'Further Analysis Sheet'!$U$5:$AE$5</c15:sqref>
                        </c15:formulaRef>
                      </c:ext>
                    </c:extLst>
                    <c:numCache>
                      <c:formatCode>General</c:formatCode>
                      <c:ptCount val="11"/>
                    </c:numCache>
                  </c:numRef>
                </c:val>
                <c:smooth val="0"/>
                <c:extLst xmlns:c15="http://schemas.microsoft.com/office/drawing/2012/chart">
                  <c:ext xmlns:c16="http://schemas.microsoft.com/office/drawing/2014/chart" uri="{C3380CC4-5D6E-409C-BE32-E72D297353CC}">
                    <c16:uniqueId val="{00000003-C931-4F1D-ABCF-A1CC47E67B39}"/>
                  </c:ext>
                </c:extLst>
              </c15:ser>
            </c15:filteredLineSeries>
          </c:ext>
        </c:extLst>
      </c:lineChart>
      <c:catAx>
        <c:axId val="248579712"/>
        <c:scaling>
          <c:orientation val="minMax"/>
        </c:scaling>
        <c:delete val="0"/>
        <c:axPos val="b"/>
        <c:numFmt formatCode="General" sourceLinked="0"/>
        <c:majorTickMark val="out"/>
        <c:minorTickMark val="none"/>
        <c:tickLblPos val="nextTo"/>
        <c:txPr>
          <a:bodyPr/>
          <a:lstStyle/>
          <a:p>
            <a:pPr>
              <a:defRPr sz="800"/>
            </a:pPr>
            <a:endParaRPr lang="en-US"/>
          </a:p>
        </c:txPr>
        <c:crossAx val="248580104"/>
        <c:crosses val="autoZero"/>
        <c:auto val="1"/>
        <c:lblAlgn val="ctr"/>
        <c:lblOffset val="100"/>
        <c:noMultiLvlLbl val="0"/>
      </c:catAx>
      <c:valAx>
        <c:axId val="24858010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48579712"/>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896331367332004E-2"/>
          <c:y val="3.7260461069588614E-2"/>
          <c:w val="0.93295665692096541"/>
          <c:h val="0.79179632271042577"/>
        </c:manualLayout>
      </c:layout>
      <c:barChart>
        <c:barDir val="col"/>
        <c:grouping val="clustered"/>
        <c:varyColors val="0"/>
        <c:ser>
          <c:idx val="3"/>
          <c:order val="3"/>
          <c:tx>
            <c:strRef>
              <c:f>'Further Analysis Sheet'!$C$12</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Sheet'!$D$12:$O$12</c:f>
              <c:numCache>
                <c:formatCode>General</c:formatCode>
                <c:ptCount val="12"/>
                <c:pt idx="0">
                  <c:v>1310</c:v>
                </c:pt>
                <c:pt idx="1">
                  <c:v>1494</c:v>
                </c:pt>
                <c:pt idx="2">
                  <c:v>1520</c:v>
                </c:pt>
                <c:pt idx="3">
                  <c:v>1575</c:v>
                </c:pt>
                <c:pt idx="4">
                  <c:v>1629</c:v>
                </c:pt>
                <c:pt idx="5">
                  <c:v>1330</c:v>
                </c:pt>
                <c:pt idx="6">
                  <c:v>0</c:v>
                </c:pt>
                <c:pt idx="7">
                  <c:v>0</c:v>
                </c:pt>
                <c:pt idx="8">
                  <c:v>0</c:v>
                </c:pt>
                <c:pt idx="9">
                  <c:v>0</c:v>
                </c:pt>
                <c:pt idx="10">
                  <c:v>0</c:v>
                </c:pt>
                <c:pt idx="11">
                  <c:v>0</c:v>
                </c:pt>
              </c:numCache>
            </c:numRef>
          </c:val>
          <c:extLst>
            <c:ext xmlns:c16="http://schemas.microsoft.com/office/drawing/2014/chart" uri="{C3380CC4-5D6E-409C-BE32-E72D297353CC}">
              <c16:uniqueId val="{00000000-5E19-406D-8DB3-D6ACC4218377}"/>
            </c:ext>
          </c:extLst>
        </c:ser>
        <c:dLbls>
          <c:showLegendKey val="0"/>
          <c:showVal val="0"/>
          <c:showCatName val="0"/>
          <c:showSerName val="0"/>
          <c:showPercent val="0"/>
          <c:showBubbleSize val="0"/>
        </c:dLbls>
        <c:gapWidth val="60"/>
        <c:axId val="223250160"/>
        <c:axId val="223099056"/>
      </c:barChart>
      <c:lineChart>
        <c:grouping val="standard"/>
        <c:varyColors val="0"/>
        <c:ser>
          <c:idx val="0"/>
          <c:order val="0"/>
          <c:tx>
            <c:strRef>
              <c:f>'Further Analysis Sheet'!$C$9</c:f>
              <c:strCache>
                <c:ptCount val="1"/>
                <c:pt idx="0">
                  <c:v>Target</c:v>
                </c:pt>
              </c:strCache>
            </c:strRef>
          </c:tx>
          <c:spPr>
            <a:ln>
              <a:solidFill>
                <a:srgbClr val="00B05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Sheet'!$D$9:$O$9</c:f>
              <c:numCache>
                <c:formatCode>General</c:formatCode>
                <c:ptCount val="12"/>
                <c:pt idx="0">
                  <c:v>1753</c:v>
                </c:pt>
                <c:pt idx="1">
                  <c:v>1727</c:v>
                </c:pt>
                <c:pt idx="2">
                  <c:v>1719</c:v>
                </c:pt>
                <c:pt idx="3">
                  <c:v>2003</c:v>
                </c:pt>
                <c:pt idx="4">
                  <c:v>1810</c:v>
                </c:pt>
                <c:pt idx="5">
                  <c:v>1626</c:v>
                </c:pt>
                <c:pt idx="6">
                  <c:v>1546</c:v>
                </c:pt>
                <c:pt idx="7">
                  <c:v>1623</c:v>
                </c:pt>
                <c:pt idx="8">
                  <c:v>1455</c:v>
                </c:pt>
                <c:pt idx="9">
                  <c:v>1286</c:v>
                </c:pt>
                <c:pt idx="10">
                  <c:v>1306</c:v>
                </c:pt>
                <c:pt idx="11">
                  <c:v>1528</c:v>
                </c:pt>
              </c:numCache>
            </c:numRef>
          </c:val>
          <c:smooth val="0"/>
          <c:extLst>
            <c:ext xmlns:c16="http://schemas.microsoft.com/office/drawing/2014/chart" uri="{C3380CC4-5D6E-409C-BE32-E72D297353CC}">
              <c16:uniqueId val="{00000001-5E19-406D-8DB3-D6ACC4218377}"/>
            </c:ext>
          </c:extLst>
        </c:ser>
        <c:ser>
          <c:idx val="1"/>
          <c:order val="1"/>
          <c:tx>
            <c:strRef>
              <c:f>'Further Analysis Sheet'!$C$10</c:f>
              <c:strCache>
                <c:ptCount val="1"/>
                <c:pt idx="0">
                  <c:v>Target +10%</c:v>
                </c:pt>
              </c:strCache>
            </c:strRef>
          </c:tx>
          <c:spPr>
            <a:ln>
              <a:solidFill>
                <a:srgbClr val="C00000"/>
              </a:solidFill>
              <a:prstDash val="solid"/>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Sheet'!$D$10:$O$10</c:f>
              <c:numCache>
                <c:formatCode>General</c:formatCode>
                <c:ptCount val="12"/>
                <c:pt idx="0">
                  <c:v>1928.3000000000002</c:v>
                </c:pt>
                <c:pt idx="1">
                  <c:v>1899.7</c:v>
                </c:pt>
                <c:pt idx="2">
                  <c:v>1890.9</c:v>
                </c:pt>
                <c:pt idx="3">
                  <c:v>2203.3000000000002</c:v>
                </c:pt>
                <c:pt idx="4">
                  <c:v>1991.0000000000002</c:v>
                </c:pt>
                <c:pt idx="5">
                  <c:v>1788.6000000000001</c:v>
                </c:pt>
                <c:pt idx="6">
                  <c:v>1700.6000000000001</c:v>
                </c:pt>
                <c:pt idx="7">
                  <c:v>1785.3000000000002</c:v>
                </c:pt>
                <c:pt idx="8">
                  <c:v>1600.5000000000002</c:v>
                </c:pt>
                <c:pt idx="9">
                  <c:v>1414.6000000000001</c:v>
                </c:pt>
                <c:pt idx="10">
                  <c:v>1436.6000000000001</c:v>
                </c:pt>
                <c:pt idx="11">
                  <c:v>1680.8000000000002</c:v>
                </c:pt>
              </c:numCache>
            </c:numRef>
          </c:val>
          <c:smooth val="0"/>
          <c:extLst>
            <c:ext xmlns:c16="http://schemas.microsoft.com/office/drawing/2014/chart" uri="{C3380CC4-5D6E-409C-BE32-E72D297353CC}">
              <c16:uniqueId val="{00000002-5E19-406D-8DB3-D6ACC4218377}"/>
            </c:ext>
          </c:extLst>
        </c:ser>
        <c:ser>
          <c:idx val="2"/>
          <c:order val="2"/>
          <c:tx>
            <c:strRef>
              <c:f>'Further Analysis Sheet'!$C$11</c:f>
              <c:strCache>
                <c:ptCount val="1"/>
                <c:pt idx="0">
                  <c:v>Target -10%</c:v>
                </c:pt>
              </c:strCache>
            </c:strRef>
          </c:tx>
          <c:spPr>
            <a:ln>
              <a:solidFill>
                <a:srgbClr val="7030A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Sheet'!$D$11:$O$11</c:f>
              <c:numCache>
                <c:formatCode>General</c:formatCode>
                <c:ptCount val="12"/>
                <c:pt idx="0">
                  <c:v>1577.7</c:v>
                </c:pt>
                <c:pt idx="1">
                  <c:v>1554.3</c:v>
                </c:pt>
                <c:pt idx="2">
                  <c:v>1547.1000000000001</c:v>
                </c:pt>
                <c:pt idx="3">
                  <c:v>1802.7</c:v>
                </c:pt>
                <c:pt idx="4">
                  <c:v>1629</c:v>
                </c:pt>
                <c:pt idx="5">
                  <c:v>1463.4</c:v>
                </c:pt>
                <c:pt idx="6">
                  <c:v>1391.4</c:v>
                </c:pt>
                <c:pt idx="7">
                  <c:v>1460.7</c:v>
                </c:pt>
                <c:pt idx="8">
                  <c:v>1309.5</c:v>
                </c:pt>
                <c:pt idx="9">
                  <c:v>1157.4000000000001</c:v>
                </c:pt>
                <c:pt idx="10">
                  <c:v>1175.4000000000001</c:v>
                </c:pt>
                <c:pt idx="11">
                  <c:v>1375.2</c:v>
                </c:pt>
              </c:numCache>
            </c:numRef>
          </c:val>
          <c:smooth val="0"/>
          <c:extLst>
            <c:ext xmlns:c16="http://schemas.microsoft.com/office/drawing/2014/chart" uri="{C3380CC4-5D6E-409C-BE32-E72D297353CC}">
              <c16:uniqueId val="{00000003-5E19-406D-8DB3-D6ACC4218377}"/>
            </c:ext>
          </c:extLst>
        </c:ser>
        <c:dLbls>
          <c:showLegendKey val="0"/>
          <c:showVal val="0"/>
          <c:showCatName val="0"/>
          <c:showSerName val="0"/>
          <c:showPercent val="0"/>
          <c:showBubbleSize val="0"/>
        </c:dLbls>
        <c:marker val="1"/>
        <c:smooth val="0"/>
        <c:axId val="223250160"/>
        <c:axId val="223099056"/>
      </c:lineChart>
      <c:catAx>
        <c:axId val="223250160"/>
        <c:scaling>
          <c:orientation val="minMax"/>
        </c:scaling>
        <c:delete val="0"/>
        <c:axPos val="b"/>
        <c:numFmt formatCode="General" sourceLinked="0"/>
        <c:majorTickMark val="out"/>
        <c:minorTickMark val="none"/>
        <c:tickLblPos val="nextTo"/>
        <c:txPr>
          <a:bodyPr/>
          <a:lstStyle/>
          <a:p>
            <a:pPr>
              <a:defRPr sz="800"/>
            </a:pPr>
            <a:endParaRPr lang="en-US"/>
          </a:p>
        </c:txPr>
        <c:crossAx val="223099056"/>
        <c:crosses val="autoZero"/>
        <c:auto val="1"/>
        <c:lblAlgn val="ctr"/>
        <c:lblOffset val="100"/>
        <c:noMultiLvlLbl val="0"/>
      </c:catAx>
      <c:valAx>
        <c:axId val="223099056"/>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250160"/>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2302818160052074E-2"/>
          <c:y val="2.7089877966420279E-2"/>
          <c:w val="0.92434165933209911"/>
          <c:h val="0.82678750281073743"/>
        </c:manualLayout>
      </c:layout>
      <c:lineChart>
        <c:grouping val="standard"/>
        <c:varyColors val="0"/>
        <c:ser>
          <c:idx val="0"/>
          <c:order val="0"/>
          <c:tx>
            <c:strRef>
              <c:f>'Further Analysis Sheet'!$T$9</c:f>
              <c:strCache>
                <c:ptCount val="1"/>
                <c:pt idx="0">
                  <c:v>Target</c:v>
                </c:pt>
              </c:strCache>
            </c:strRef>
          </c:tx>
          <c:spPr>
            <a:ln>
              <a:solidFill>
                <a:srgbClr val="00B05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Sheet'!$U$9:$AF$9</c:f>
              <c:numCache>
                <c:formatCode>General</c:formatCode>
                <c:ptCount val="12"/>
                <c:pt idx="0">
                  <c:v>1753</c:v>
                </c:pt>
                <c:pt idx="1">
                  <c:v>3480</c:v>
                </c:pt>
                <c:pt idx="2">
                  <c:v>5199</c:v>
                </c:pt>
                <c:pt idx="3">
                  <c:v>7202</c:v>
                </c:pt>
                <c:pt idx="4">
                  <c:v>9012</c:v>
                </c:pt>
                <c:pt idx="5">
                  <c:v>10638</c:v>
                </c:pt>
                <c:pt idx="6">
                  <c:v>12184</c:v>
                </c:pt>
                <c:pt idx="7">
                  <c:v>13807</c:v>
                </c:pt>
                <c:pt idx="8">
                  <c:v>15262</c:v>
                </c:pt>
                <c:pt idx="9">
                  <c:v>16548</c:v>
                </c:pt>
                <c:pt idx="10">
                  <c:v>17854</c:v>
                </c:pt>
                <c:pt idx="11">
                  <c:v>19382</c:v>
                </c:pt>
              </c:numCache>
            </c:numRef>
          </c:val>
          <c:smooth val="0"/>
          <c:extLst>
            <c:ext xmlns:c16="http://schemas.microsoft.com/office/drawing/2014/chart" uri="{C3380CC4-5D6E-409C-BE32-E72D297353CC}">
              <c16:uniqueId val="{00000000-A774-4C96-89BB-896026B6CC17}"/>
            </c:ext>
          </c:extLst>
        </c:ser>
        <c:ser>
          <c:idx val="1"/>
          <c:order val="1"/>
          <c:tx>
            <c:strRef>
              <c:f>'Further Analysis Sheet'!$T$10</c:f>
              <c:strCache>
                <c:ptCount val="1"/>
                <c:pt idx="0">
                  <c:v>Target +10%</c:v>
                </c:pt>
              </c:strCache>
            </c:strRef>
          </c:tx>
          <c:spPr>
            <a:ln>
              <a:solidFill>
                <a:srgbClr val="C0000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Sheet'!$U$10:$AF$10</c:f>
              <c:numCache>
                <c:formatCode>General</c:formatCode>
                <c:ptCount val="12"/>
                <c:pt idx="0">
                  <c:v>1928.3000000000002</c:v>
                </c:pt>
                <c:pt idx="1">
                  <c:v>3828</c:v>
                </c:pt>
                <c:pt idx="2">
                  <c:v>5718.9</c:v>
                </c:pt>
                <c:pt idx="3">
                  <c:v>7922.2</c:v>
                </c:pt>
                <c:pt idx="4">
                  <c:v>9913.2000000000007</c:v>
                </c:pt>
                <c:pt idx="5">
                  <c:v>11701.800000000001</c:v>
                </c:pt>
                <c:pt idx="6">
                  <c:v>13402.400000000001</c:v>
                </c:pt>
                <c:pt idx="7">
                  <c:v>15187.7</c:v>
                </c:pt>
                <c:pt idx="8">
                  <c:v>16788.2</c:v>
                </c:pt>
                <c:pt idx="9">
                  <c:v>18202.8</c:v>
                </c:pt>
                <c:pt idx="10">
                  <c:v>19639.399999999998</c:v>
                </c:pt>
                <c:pt idx="11">
                  <c:v>21320.199999999997</c:v>
                </c:pt>
              </c:numCache>
            </c:numRef>
          </c:val>
          <c:smooth val="0"/>
          <c:extLst>
            <c:ext xmlns:c16="http://schemas.microsoft.com/office/drawing/2014/chart" uri="{C3380CC4-5D6E-409C-BE32-E72D297353CC}">
              <c16:uniqueId val="{00000001-A774-4C96-89BB-896026B6CC17}"/>
            </c:ext>
          </c:extLst>
        </c:ser>
        <c:ser>
          <c:idx val="2"/>
          <c:order val="2"/>
          <c:tx>
            <c:strRef>
              <c:f>'Further Analysis Sheet'!$T$11</c:f>
              <c:strCache>
                <c:ptCount val="1"/>
                <c:pt idx="0">
                  <c:v>Target -10%</c:v>
                </c:pt>
              </c:strCache>
            </c:strRef>
          </c:tx>
          <c:spPr>
            <a:ln>
              <a:solidFill>
                <a:srgbClr val="7030A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Sheet'!$U$11:$AF$11</c:f>
              <c:numCache>
                <c:formatCode>General</c:formatCode>
                <c:ptCount val="12"/>
                <c:pt idx="0">
                  <c:v>1577.7</c:v>
                </c:pt>
                <c:pt idx="1">
                  <c:v>3132</c:v>
                </c:pt>
                <c:pt idx="2">
                  <c:v>4679.1000000000004</c:v>
                </c:pt>
                <c:pt idx="3">
                  <c:v>6481.8</c:v>
                </c:pt>
                <c:pt idx="4">
                  <c:v>8110.8</c:v>
                </c:pt>
                <c:pt idx="5">
                  <c:v>9574.2000000000007</c:v>
                </c:pt>
                <c:pt idx="6">
                  <c:v>10965.6</c:v>
                </c:pt>
                <c:pt idx="7">
                  <c:v>12426.300000000001</c:v>
                </c:pt>
                <c:pt idx="8">
                  <c:v>13735.800000000001</c:v>
                </c:pt>
                <c:pt idx="9">
                  <c:v>14893.2</c:v>
                </c:pt>
                <c:pt idx="10">
                  <c:v>16068.6</c:v>
                </c:pt>
                <c:pt idx="11">
                  <c:v>17443.8</c:v>
                </c:pt>
              </c:numCache>
            </c:numRef>
          </c:val>
          <c:smooth val="0"/>
          <c:extLst>
            <c:ext xmlns:c16="http://schemas.microsoft.com/office/drawing/2014/chart" uri="{C3380CC4-5D6E-409C-BE32-E72D297353CC}">
              <c16:uniqueId val="{00000002-A774-4C96-89BB-896026B6CC17}"/>
            </c:ext>
          </c:extLst>
        </c:ser>
        <c:ser>
          <c:idx val="3"/>
          <c:order val="3"/>
          <c:tx>
            <c:strRef>
              <c:f>'Further Analysis Sheet'!$T$12</c:f>
              <c:strCache>
                <c:ptCount val="1"/>
                <c:pt idx="0">
                  <c:v>Performance</c:v>
                </c:pt>
              </c:strCache>
            </c:strRef>
          </c:tx>
          <c:spPr>
            <a:ln>
              <a:solidFill>
                <a:schemeClr val="tx1"/>
              </a:solidFill>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Sheet'!$U$12:$AF$12</c:f>
              <c:numCache>
                <c:formatCode>General</c:formatCode>
                <c:ptCount val="12"/>
                <c:pt idx="0">
                  <c:v>1310</c:v>
                </c:pt>
                <c:pt idx="1">
                  <c:v>2804</c:v>
                </c:pt>
                <c:pt idx="2">
                  <c:v>4324</c:v>
                </c:pt>
                <c:pt idx="3">
                  <c:v>5899</c:v>
                </c:pt>
                <c:pt idx="4">
                  <c:v>7528</c:v>
                </c:pt>
                <c:pt idx="5">
                  <c:v>8858</c:v>
                </c:pt>
                <c:pt idx="6">
                  <c:v>8858</c:v>
                </c:pt>
                <c:pt idx="7">
                  <c:v>8858</c:v>
                </c:pt>
                <c:pt idx="8">
                  <c:v>8858</c:v>
                </c:pt>
                <c:pt idx="9">
                  <c:v>8858</c:v>
                </c:pt>
                <c:pt idx="10">
                  <c:v>8858</c:v>
                </c:pt>
                <c:pt idx="11">
                  <c:v>8858</c:v>
                </c:pt>
              </c:numCache>
            </c:numRef>
          </c:val>
          <c:smooth val="0"/>
          <c:extLst>
            <c:ext xmlns:c16="http://schemas.microsoft.com/office/drawing/2014/chart" uri="{C3380CC4-5D6E-409C-BE32-E72D297353CC}">
              <c16:uniqueId val="{00000003-A774-4C96-89BB-896026B6CC17}"/>
            </c:ext>
          </c:extLst>
        </c:ser>
        <c:dLbls>
          <c:showLegendKey val="0"/>
          <c:showVal val="0"/>
          <c:showCatName val="0"/>
          <c:showSerName val="0"/>
          <c:showPercent val="0"/>
          <c:showBubbleSize val="0"/>
        </c:dLbls>
        <c:smooth val="0"/>
        <c:axId val="223100232"/>
        <c:axId val="223100624"/>
      </c:lineChart>
      <c:catAx>
        <c:axId val="223100232"/>
        <c:scaling>
          <c:orientation val="minMax"/>
        </c:scaling>
        <c:delete val="0"/>
        <c:axPos val="b"/>
        <c:numFmt formatCode="General" sourceLinked="0"/>
        <c:majorTickMark val="out"/>
        <c:minorTickMark val="none"/>
        <c:tickLblPos val="nextTo"/>
        <c:txPr>
          <a:bodyPr/>
          <a:lstStyle/>
          <a:p>
            <a:pPr>
              <a:defRPr sz="800"/>
            </a:pPr>
            <a:endParaRPr lang="en-US"/>
          </a:p>
        </c:txPr>
        <c:crossAx val="223100624"/>
        <c:crosses val="autoZero"/>
        <c:auto val="1"/>
        <c:lblAlgn val="ctr"/>
        <c:lblOffset val="100"/>
        <c:noMultiLvlLbl val="0"/>
      </c:catAx>
      <c:valAx>
        <c:axId val="22310062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100232"/>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218883729399974E-2"/>
          <c:y val="3.2298858792408514E-2"/>
          <c:w val="0.93295665692096541"/>
          <c:h val="0.8017195272647859"/>
        </c:manualLayout>
      </c:layout>
      <c:barChart>
        <c:barDir val="col"/>
        <c:grouping val="clustered"/>
        <c:varyColors val="0"/>
        <c:ser>
          <c:idx val="3"/>
          <c:order val="3"/>
          <c:tx>
            <c:strRef>
              <c:f>'Further Analysis Sheet'!$C$17</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Sheet'!$D$17:$O$17</c:f>
              <c:numCache>
                <c:formatCode>General</c:formatCode>
                <c:ptCount val="12"/>
                <c:pt idx="0">
                  <c:v>371</c:v>
                </c:pt>
                <c:pt idx="1">
                  <c:v>444</c:v>
                </c:pt>
                <c:pt idx="2">
                  <c:v>485</c:v>
                </c:pt>
                <c:pt idx="3">
                  <c:v>470</c:v>
                </c:pt>
                <c:pt idx="4">
                  <c:v>573</c:v>
                </c:pt>
                <c:pt idx="5">
                  <c:v>348</c:v>
                </c:pt>
                <c:pt idx="6">
                  <c:v>0</c:v>
                </c:pt>
                <c:pt idx="7">
                  <c:v>0</c:v>
                </c:pt>
                <c:pt idx="8">
                  <c:v>0</c:v>
                </c:pt>
                <c:pt idx="9">
                  <c:v>0</c:v>
                </c:pt>
                <c:pt idx="10">
                  <c:v>0</c:v>
                </c:pt>
                <c:pt idx="11">
                  <c:v>0</c:v>
                </c:pt>
              </c:numCache>
            </c:numRef>
          </c:val>
          <c:extLst>
            <c:ext xmlns:c16="http://schemas.microsoft.com/office/drawing/2014/chart" uri="{C3380CC4-5D6E-409C-BE32-E72D297353CC}">
              <c16:uniqueId val="{00000000-6745-4D71-A4C4-5BC0958730E5}"/>
            </c:ext>
          </c:extLst>
        </c:ser>
        <c:dLbls>
          <c:showLegendKey val="0"/>
          <c:showVal val="0"/>
          <c:showCatName val="0"/>
          <c:showSerName val="0"/>
          <c:showPercent val="0"/>
          <c:showBubbleSize val="0"/>
        </c:dLbls>
        <c:gapWidth val="60"/>
        <c:axId val="219092640"/>
        <c:axId val="120507544"/>
      </c:barChart>
      <c:lineChart>
        <c:grouping val="standard"/>
        <c:varyColors val="0"/>
        <c:ser>
          <c:idx val="0"/>
          <c:order val="0"/>
          <c:tx>
            <c:strRef>
              <c:f>'Further Analysis Sheet'!$C$14</c:f>
              <c:strCache>
                <c:ptCount val="1"/>
                <c:pt idx="0">
                  <c:v>Target</c:v>
                </c:pt>
              </c:strCache>
            </c:strRef>
          </c:tx>
          <c:spPr>
            <a:ln>
              <a:solidFill>
                <a:srgbClr val="00B05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Sheet'!$D$14:$O$14</c:f>
              <c:numCache>
                <c:formatCode>General</c:formatCode>
                <c:ptCount val="12"/>
                <c:pt idx="0">
                  <c:v>792</c:v>
                </c:pt>
                <c:pt idx="1">
                  <c:v>726</c:v>
                </c:pt>
                <c:pt idx="2">
                  <c:v>726</c:v>
                </c:pt>
                <c:pt idx="3">
                  <c:v>868</c:v>
                </c:pt>
                <c:pt idx="4">
                  <c:v>684</c:v>
                </c:pt>
                <c:pt idx="5">
                  <c:v>547</c:v>
                </c:pt>
                <c:pt idx="6">
                  <c:v>497</c:v>
                </c:pt>
                <c:pt idx="7">
                  <c:v>571</c:v>
                </c:pt>
                <c:pt idx="8">
                  <c:v>342</c:v>
                </c:pt>
                <c:pt idx="9">
                  <c:v>380</c:v>
                </c:pt>
                <c:pt idx="10">
                  <c:v>388</c:v>
                </c:pt>
                <c:pt idx="11">
                  <c:v>546</c:v>
                </c:pt>
              </c:numCache>
            </c:numRef>
          </c:val>
          <c:smooth val="0"/>
          <c:extLst>
            <c:ext xmlns:c16="http://schemas.microsoft.com/office/drawing/2014/chart" uri="{C3380CC4-5D6E-409C-BE32-E72D297353CC}">
              <c16:uniqueId val="{00000001-6745-4D71-A4C4-5BC0958730E5}"/>
            </c:ext>
          </c:extLst>
        </c:ser>
        <c:ser>
          <c:idx val="1"/>
          <c:order val="1"/>
          <c:tx>
            <c:strRef>
              <c:f>'Further Analysis Sheet'!$C$15</c:f>
              <c:strCache>
                <c:ptCount val="1"/>
                <c:pt idx="0">
                  <c:v>Target +10%</c:v>
                </c:pt>
              </c:strCache>
            </c:strRef>
          </c:tx>
          <c:spPr>
            <a:ln>
              <a:solidFill>
                <a:srgbClr val="C00000"/>
              </a:solidFill>
              <a:prstDash val="solid"/>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Sheet'!$D$15:$O$15</c:f>
              <c:numCache>
                <c:formatCode>General</c:formatCode>
                <c:ptCount val="12"/>
                <c:pt idx="0">
                  <c:v>871.2</c:v>
                </c:pt>
                <c:pt idx="1">
                  <c:v>798.6</c:v>
                </c:pt>
                <c:pt idx="2">
                  <c:v>798.6</c:v>
                </c:pt>
                <c:pt idx="3">
                  <c:v>954.80000000000007</c:v>
                </c:pt>
                <c:pt idx="4">
                  <c:v>752.40000000000009</c:v>
                </c:pt>
                <c:pt idx="5">
                  <c:v>601.70000000000005</c:v>
                </c:pt>
                <c:pt idx="6">
                  <c:v>546.70000000000005</c:v>
                </c:pt>
                <c:pt idx="7">
                  <c:v>628.1</c:v>
                </c:pt>
                <c:pt idx="8">
                  <c:v>376.20000000000005</c:v>
                </c:pt>
                <c:pt idx="9">
                  <c:v>418.00000000000006</c:v>
                </c:pt>
                <c:pt idx="10">
                  <c:v>426.8</c:v>
                </c:pt>
                <c:pt idx="11">
                  <c:v>600.6</c:v>
                </c:pt>
              </c:numCache>
            </c:numRef>
          </c:val>
          <c:smooth val="0"/>
          <c:extLst>
            <c:ext xmlns:c16="http://schemas.microsoft.com/office/drawing/2014/chart" uri="{C3380CC4-5D6E-409C-BE32-E72D297353CC}">
              <c16:uniqueId val="{00000002-6745-4D71-A4C4-5BC0958730E5}"/>
            </c:ext>
          </c:extLst>
        </c:ser>
        <c:ser>
          <c:idx val="2"/>
          <c:order val="2"/>
          <c:tx>
            <c:strRef>
              <c:f>'Further Analysis Sheet'!$C$16</c:f>
              <c:strCache>
                <c:ptCount val="1"/>
                <c:pt idx="0">
                  <c:v>Target -10%</c:v>
                </c:pt>
              </c:strCache>
            </c:strRef>
          </c:tx>
          <c:spPr>
            <a:ln>
              <a:solidFill>
                <a:srgbClr val="7030A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Sheet'!$D$16:$O$16</c:f>
              <c:numCache>
                <c:formatCode>General</c:formatCode>
                <c:ptCount val="12"/>
                <c:pt idx="0">
                  <c:v>712.80000000000007</c:v>
                </c:pt>
                <c:pt idx="1">
                  <c:v>653.4</c:v>
                </c:pt>
                <c:pt idx="2">
                  <c:v>653.4</c:v>
                </c:pt>
                <c:pt idx="3">
                  <c:v>781.2</c:v>
                </c:pt>
                <c:pt idx="4">
                  <c:v>615.6</c:v>
                </c:pt>
                <c:pt idx="5">
                  <c:v>492.3</c:v>
                </c:pt>
                <c:pt idx="6">
                  <c:v>447.3</c:v>
                </c:pt>
                <c:pt idx="7">
                  <c:v>513.9</c:v>
                </c:pt>
                <c:pt idx="8">
                  <c:v>307.8</c:v>
                </c:pt>
                <c:pt idx="9">
                  <c:v>342</c:v>
                </c:pt>
                <c:pt idx="10">
                  <c:v>349.2</c:v>
                </c:pt>
                <c:pt idx="11">
                  <c:v>491.40000000000003</c:v>
                </c:pt>
              </c:numCache>
            </c:numRef>
          </c:val>
          <c:smooth val="0"/>
          <c:extLst>
            <c:ext xmlns:c16="http://schemas.microsoft.com/office/drawing/2014/chart" uri="{C3380CC4-5D6E-409C-BE32-E72D297353CC}">
              <c16:uniqueId val="{00000003-6745-4D71-A4C4-5BC0958730E5}"/>
            </c:ext>
          </c:extLst>
        </c:ser>
        <c:dLbls>
          <c:showLegendKey val="0"/>
          <c:showVal val="0"/>
          <c:showCatName val="0"/>
          <c:showSerName val="0"/>
          <c:showPercent val="0"/>
          <c:showBubbleSize val="0"/>
        </c:dLbls>
        <c:marker val="1"/>
        <c:smooth val="0"/>
        <c:axId val="219092640"/>
        <c:axId val="120507544"/>
      </c:lineChart>
      <c:catAx>
        <c:axId val="219092640"/>
        <c:scaling>
          <c:orientation val="minMax"/>
        </c:scaling>
        <c:delete val="0"/>
        <c:axPos val="b"/>
        <c:numFmt formatCode="General" sourceLinked="0"/>
        <c:majorTickMark val="out"/>
        <c:minorTickMark val="none"/>
        <c:tickLblPos val="nextTo"/>
        <c:txPr>
          <a:bodyPr/>
          <a:lstStyle/>
          <a:p>
            <a:pPr>
              <a:defRPr sz="800"/>
            </a:pPr>
            <a:endParaRPr lang="en-US"/>
          </a:p>
        </c:txPr>
        <c:crossAx val="120507544"/>
        <c:crosses val="autoZero"/>
        <c:auto val="1"/>
        <c:lblAlgn val="ctr"/>
        <c:lblOffset val="100"/>
        <c:noMultiLvlLbl val="0"/>
      </c:catAx>
      <c:valAx>
        <c:axId val="12050754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19092640"/>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1596035624078976E-2"/>
          <c:y val="3.7280095574972472E-2"/>
          <c:w val="0.93504844186807223"/>
          <c:h val="0.81778795474243937"/>
        </c:manualLayout>
      </c:layout>
      <c:lineChart>
        <c:grouping val="standard"/>
        <c:varyColors val="0"/>
        <c:ser>
          <c:idx val="0"/>
          <c:order val="0"/>
          <c:tx>
            <c:strRef>
              <c:f>'Further Analysis Sheet'!$T$14</c:f>
              <c:strCache>
                <c:ptCount val="1"/>
                <c:pt idx="0">
                  <c:v>Target</c:v>
                </c:pt>
              </c:strCache>
            </c:strRef>
          </c:tx>
          <c:spPr>
            <a:ln>
              <a:solidFill>
                <a:srgbClr val="00B05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Sheet'!$U$14:$AF$14</c:f>
              <c:numCache>
                <c:formatCode>General</c:formatCode>
                <c:ptCount val="12"/>
                <c:pt idx="0">
                  <c:v>792</c:v>
                </c:pt>
                <c:pt idx="1">
                  <c:v>1518</c:v>
                </c:pt>
                <c:pt idx="2">
                  <c:v>2244</c:v>
                </c:pt>
                <c:pt idx="3">
                  <c:v>3112</c:v>
                </c:pt>
                <c:pt idx="4">
                  <c:v>3796</c:v>
                </c:pt>
                <c:pt idx="5">
                  <c:v>4343</c:v>
                </c:pt>
                <c:pt idx="6">
                  <c:v>4840</c:v>
                </c:pt>
                <c:pt idx="7">
                  <c:v>5411</c:v>
                </c:pt>
                <c:pt idx="8">
                  <c:v>5753</c:v>
                </c:pt>
                <c:pt idx="9">
                  <c:v>6133</c:v>
                </c:pt>
                <c:pt idx="10">
                  <c:v>6521</c:v>
                </c:pt>
                <c:pt idx="11">
                  <c:v>7067</c:v>
                </c:pt>
              </c:numCache>
            </c:numRef>
          </c:val>
          <c:smooth val="0"/>
          <c:extLst>
            <c:ext xmlns:c16="http://schemas.microsoft.com/office/drawing/2014/chart" uri="{C3380CC4-5D6E-409C-BE32-E72D297353CC}">
              <c16:uniqueId val="{00000000-2000-4973-80D5-4FBCF19EC02B}"/>
            </c:ext>
          </c:extLst>
        </c:ser>
        <c:ser>
          <c:idx val="1"/>
          <c:order val="1"/>
          <c:tx>
            <c:strRef>
              <c:f>'Further Analysis Sheet'!$T$15</c:f>
              <c:strCache>
                <c:ptCount val="1"/>
                <c:pt idx="0">
                  <c:v>Target +10%</c:v>
                </c:pt>
              </c:strCache>
            </c:strRef>
          </c:tx>
          <c:spPr>
            <a:ln>
              <a:solidFill>
                <a:srgbClr val="C0000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Sheet'!$U$15:$AF$15</c:f>
              <c:numCache>
                <c:formatCode>General</c:formatCode>
                <c:ptCount val="12"/>
                <c:pt idx="0">
                  <c:v>871.2</c:v>
                </c:pt>
                <c:pt idx="1">
                  <c:v>1669.8000000000002</c:v>
                </c:pt>
                <c:pt idx="2">
                  <c:v>2468.4</c:v>
                </c:pt>
                <c:pt idx="3">
                  <c:v>3423.2000000000003</c:v>
                </c:pt>
                <c:pt idx="4">
                  <c:v>4175.6000000000004</c:v>
                </c:pt>
                <c:pt idx="5">
                  <c:v>4777.3</c:v>
                </c:pt>
                <c:pt idx="6">
                  <c:v>5324</c:v>
                </c:pt>
                <c:pt idx="7">
                  <c:v>5952.1</c:v>
                </c:pt>
                <c:pt idx="8">
                  <c:v>6328.3</c:v>
                </c:pt>
                <c:pt idx="9">
                  <c:v>6746.3</c:v>
                </c:pt>
                <c:pt idx="10">
                  <c:v>7173.1</c:v>
                </c:pt>
                <c:pt idx="11">
                  <c:v>7773.7000000000007</c:v>
                </c:pt>
              </c:numCache>
            </c:numRef>
          </c:val>
          <c:smooth val="0"/>
          <c:extLst>
            <c:ext xmlns:c16="http://schemas.microsoft.com/office/drawing/2014/chart" uri="{C3380CC4-5D6E-409C-BE32-E72D297353CC}">
              <c16:uniqueId val="{00000001-2000-4973-80D5-4FBCF19EC02B}"/>
            </c:ext>
          </c:extLst>
        </c:ser>
        <c:ser>
          <c:idx val="2"/>
          <c:order val="2"/>
          <c:tx>
            <c:strRef>
              <c:f>'Further Analysis Sheet'!$T$16</c:f>
              <c:strCache>
                <c:ptCount val="1"/>
                <c:pt idx="0">
                  <c:v>Target -10%</c:v>
                </c:pt>
              </c:strCache>
            </c:strRef>
          </c:tx>
          <c:spPr>
            <a:ln>
              <a:solidFill>
                <a:srgbClr val="7030A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Sheet'!$U$16:$AF$16</c:f>
              <c:numCache>
                <c:formatCode>General</c:formatCode>
                <c:ptCount val="12"/>
                <c:pt idx="0">
                  <c:v>712.80000000000007</c:v>
                </c:pt>
                <c:pt idx="1">
                  <c:v>1366.2</c:v>
                </c:pt>
                <c:pt idx="2">
                  <c:v>2019.6</c:v>
                </c:pt>
                <c:pt idx="3">
                  <c:v>2800.8</c:v>
                </c:pt>
                <c:pt idx="4">
                  <c:v>3416.4</c:v>
                </c:pt>
                <c:pt idx="5">
                  <c:v>3908.7000000000003</c:v>
                </c:pt>
                <c:pt idx="6">
                  <c:v>4356</c:v>
                </c:pt>
                <c:pt idx="7">
                  <c:v>4869.8999999999996</c:v>
                </c:pt>
                <c:pt idx="8">
                  <c:v>5177.7</c:v>
                </c:pt>
                <c:pt idx="9">
                  <c:v>5519.7</c:v>
                </c:pt>
                <c:pt idx="10">
                  <c:v>5868.9</c:v>
                </c:pt>
                <c:pt idx="11">
                  <c:v>6360.2999999999993</c:v>
                </c:pt>
              </c:numCache>
            </c:numRef>
          </c:val>
          <c:smooth val="0"/>
          <c:extLst>
            <c:ext xmlns:c16="http://schemas.microsoft.com/office/drawing/2014/chart" uri="{C3380CC4-5D6E-409C-BE32-E72D297353CC}">
              <c16:uniqueId val="{00000002-2000-4973-80D5-4FBCF19EC02B}"/>
            </c:ext>
          </c:extLst>
        </c:ser>
        <c:ser>
          <c:idx val="3"/>
          <c:order val="3"/>
          <c:tx>
            <c:strRef>
              <c:f>'Further Analysis Sheet'!$T$17</c:f>
              <c:strCache>
                <c:ptCount val="1"/>
                <c:pt idx="0">
                  <c:v>Performance</c:v>
                </c:pt>
              </c:strCache>
            </c:strRef>
          </c:tx>
          <c:spPr>
            <a:ln>
              <a:solidFill>
                <a:schemeClr val="tx1"/>
              </a:solidFill>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Sheet'!$U$17:$AF$17</c:f>
              <c:numCache>
                <c:formatCode>General</c:formatCode>
                <c:ptCount val="12"/>
                <c:pt idx="0">
                  <c:v>371</c:v>
                </c:pt>
                <c:pt idx="1">
                  <c:v>815</c:v>
                </c:pt>
                <c:pt idx="2">
                  <c:v>1300</c:v>
                </c:pt>
                <c:pt idx="3">
                  <c:v>1770</c:v>
                </c:pt>
                <c:pt idx="4">
                  <c:v>2343</c:v>
                </c:pt>
                <c:pt idx="5">
                  <c:v>2691</c:v>
                </c:pt>
                <c:pt idx="6">
                  <c:v>2691</c:v>
                </c:pt>
                <c:pt idx="7">
                  <c:v>2691</c:v>
                </c:pt>
                <c:pt idx="8">
                  <c:v>2691</c:v>
                </c:pt>
                <c:pt idx="9">
                  <c:v>2691</c:v>
                </c:pt>
                <c:pt idx="10">
                  <c:v>2691</c:v>
                </c:pt>
                <c:pt idx="11">
                  <c:v>2691</c:v>
                </c:pt>
              </c:numCache>
            </c:numRef>
          </c:val>
          <c:smooth val="0"/>
          <c:extLst>
            <c:ext xmlns:c16="http://schemas.microsoft.com/office/drawing/2014/chart" uri="{C3380CC4-5D6E-409C-BE32-E72D297353CC}">
              <c16:uniqueId val="{00000003-2000-4973-80D5-4FBCF19EC02B}"/>
            </c:ext>
          </c:extLst>
        </c:ser>
        <c:dLbls>
          <c:showLegendKey val="0"/>
          <c:showVal val="0"/>
          <c:showCatName val="0"/>
          <c:showSerName val="0"/>
          <c:showPercent val="0"/>
          <c:showBubbleSize val="0"/>
        </c:dLbls>
        <c:smooth val="0"/>
        <c:axId val="221570816"/>
        <c:axId val="223268304"/>
      </c:lineChart>
      <c:catAx>
        <c:axId val="221570816"/>
        <c:scaling>
          <c:orientation val="minMax"/>
        </c:scaling>
        <c:delete val="0"/>
        <c:axPos val="b"/>
        <c:numFmt formatCode="General" sourceLinked="0"/>
        <c:majorTickMark val="out"/>
        <c:minorTickMark val="none"/>
        <c:tickLblPos val="nextTo"/>
        <c:txPr>
          <a:bodyPr/>
          <a:lstStyle/>
          <a:p>
            <a:pPr>
              <a:defRPr sz="800"/>
            </a:pPr>
            <a:endParaRPr lang="en-US"/>
          </a:p>
        </c:txPr>
        <c:crossAx val="223268304"/>
        <c:crosses val="autoZero"/>
        <c:auto val="1"/>
        <c:lblAlgn val="ctr"/>
        <c:lblOffset val="100"/>
        <c:noMultiLvlLbl val="0"/>
      </c:catAx>
      <c:valAx>
        <c:axId val="22326830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1570816"/>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990784148127917E-2"/>
          <c:y val="2.723379168716375E-2"/>
          <c:w val="0.94599783890212186"/>
          <c:h val="0.79773556029265935"/>
        </c:manualLayout>
      </c:layout>
      <c:barChart>
        <c:barDir val="col"/>
        <c:grouping val="clustered"/>
        <c:varyColors val="0"/>
        <c:ser>
          <c:idx val="3"/>
          <c:order val="3"/>
          <c:tx>
            <c:strRef>
              <c:f>'Further Analysis Sheet'!$C$22</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Sheet'!$D$18:$O$18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Sheet'!$D$22:$O$22</c:f>
              <c:numCache>
                <c:formatCode>General</c:formatCode>
                <c:ptCount val="12"/>
                <c:pt idx="0">
                  <c:v>128</c:v>
                </c:pt>
                <c:pt idx="1">
                  <c:v>153</c:v>
                </c:pt>
                <c:pt idx="2">
                  <c:v>125</c:v>
                </c:pt>
                <c:pt idx="3">
                  <c:v>131</c:v>
                </c:pt>
                <c:pt idx="4">
                  <c:v>148</c:v>
                </c:pt>
                <c:pt idx="5">
                  <c:v>133</c:v>
                </c:pt>
                <c:pt idx="6">
                  <c:v>0</c:v>
                </c:pt>
                <c:pt idx="7">
                  <c:v>0</c:v>
                </c:pt>
                <c:pt idx="8">
                  <c:v>0</c:v>
                </c:pt>
                <c:pt idx="9">
                  <c:v>0</c:v>
                </c:pt>
                <c:pt idx="10">
                  <c:v>0</c:v>
                </c:pt>
                <c:pt idx="11">
                  <c:v>0</c:v>
                </c:pt>
              </c:numCache>
            </c:numRef>
          </c:val>
          <c:extLst>
            <c:ext xmlns:c16="http://schemas.microsoft.com/office/drawing/2014/chart" uri="{C3380CC4-5D6E-409C-BE32-E72D297353CC}">
              <c16:uniqueId val="{00000000-5A6D-4264-92F3-EEB89B8FDDB3}"/>
            </c:ext>
          </c:extLst>
        </c:ser>
        <c:dLbls>
          <c:showLegendKey val="0"/>
          <c:showVal val="0"/>
          <c:showCatName val="0"/>
          <c:showSerName val="0"/>
          <c:showPercent val="0"/>
          <c:showBubbleSize val="0"/>
        </c:dLbls>
        <c:gapWidth val="60"/>
        <c:axId val="220489840"/>
        <c:axId val="217169920"/>
      </c:barChart>
      <c:lineChart>
        <c:grouping val="standard"/>
        <c:varyColors val="0"/>
        <c:ser>
          <c:idx val="0"/>
          <c:order val="0"/>
          <c:tx>
            <c:strRef>
              <c:f>'Further Analysis Sheet'!$C$19</c:f>
              <c:strCache>
                <c:ptCount val="1"/>
                <c:pt idx="0">
                  <c:v>Target</c:v>
                </c:pt>
              </c:strCache>
            </c:strRef>
          </c:tx>
          <c:spPr>
            <a:ln>
              <a:solidFill>
                <a:srgbClr val="00B050"/>
              </a:solidFill>
            </a:ln>
          </c:spPr>
          <c:marker>
            <c:symbol val="none"/>
          </c:marker>
          <c:cat>
            <c:strRef>
              <c:f>'Further Analysis Sheet'!$D$18:$O$18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Sheet'!$D$19:$O$19</c:f>
              <c:numCache>
                <c:formatCode>General</c:formatCode>
                <c:ptCount val="12"/>
                <c:pt idx="0">
                  <c:v>177</c:v>
                </c:pt>
                <c:pt idx="1">
                  <c:v>172</c:v>
                </c:pt>
                <c:pt idx="2">
                  <c:v>166</c:v>
                </c:pt>
                <c:pt idx="3">
                  <c:v>167</c:v>
                </c:pt>
                <c:pt idx="4">
                  <c:v>157</c:v>
                </c:pt>
                <c:pt idx="5">
                  <c:v>149</c:v>
                </c:pt>
                <c:pt idx="6">
                  <c:v>154</c:v>
                </c:pt>
                <c:pt idx="7">
                  <c:v>161</c:v>
                </c:pt>
                <c:pt idx="8">
                  <c:v>144</c:v>
                </c:pt>
                <c:pt idx="9">
                  <c:v>153</c:v>
                </c:pt>
                <c:pt idx="10">
                  <c:v>126</c:v>
                </c:pt>
                <c:pt idx="11">
                  <c:v>155</c:v>
                </c:pt>
              </c:numCache>
            </c:numRef>
          </c:val>
          <c:smooth val="0"/>
          <c:extLst>
            <c:ext xmlns:c16="http://schemas.microsoft.com/office/drawing/2014/chart" uri="{C3380CC4-5D6E-409C-BE32-E72D297353CC}">
              <c16:uniqueId val="{00000001-5A6D-4264-92F3-EEB89B8FDDB3}"/>
            </c:ext>
          </c:extLst>
        </c:ser>
        <c:ser>
          <c:idx val="1"/>
          <c:order val="1"/>
          <c:tx>
            <c:strRef>
              <c:f>'Further Analysis Sheet'!$C$20</c:f>
              <c:strCache>
                <c:ptCount val="1"/>
                <c:pt idx="0">
                  <c:v>Target +10%</c:v>
                </c:pt>
              </c:strCache>
            </c:strRef>
          </c:tx>
          <c:spPr>
            <a:ln>
              <a:solidFill>
                <a:srgbClr val="C00000"/>
              </a:solidFill>
            </a:ln>
          </c:spPr>
          <c:marker>
            <c:symbol val="none"/>
          </c:marker>
          <c:cat>
            <c:strRef>
              <c:f>'Further Analysis Sheet'!$D$18:$O$18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Sheet'!$D$20:$O$20</c:f>
              <c:numCache>
                <c:formatCode>General</c:formatCode>
                <c:ptCount val="12"/>
                <c:pt idx="0">
                  <c:v>194.70000000000002</c:v>
                </c:pt>
                <c:pt idx="1">
                  <c:v>189.20000000000002</c:v>
                </c:pt>
                <c:pt idx="2">
                  <c:v>182.60000000000002</c:v>
                </c:pt>
                <c:pt idx="3">
                  <c:v>183.70000000000002</c:v>
                </c:pt>
                <c:pt idx="4">
                  <c:v>172.70000000000002</c:v>
                </c:pt>
                <c:pt idx="5">
                  <c:v>163.9</c:v>
                </c:pt>
                <c:pt idx="6">
                  <c:v>169.4</c:v>
                </c:pt>
                <c:pt idx="7">
                  <c:v>177.10000000000002</c:v>
                </c:pt>
                <c:pt idx="8">
                  <c:v>158.4</c:v>
                </c:pt>
                <c:pt idx="9">
                  <c:v>168.3</c:v>
                </c:pt>
                <c:pt idx="10">
                  <c:v>138.60000000000002</c:v>
                </c:pt>
                <c:pt idx="11">
                  <c:v>170.5</c:v>
                </c:pt>
              </c:numCache>
            </c:numRef>
          </c:val>
          <c:smooth val="0"/>
          <c:extLst>
            <c:ext xmlns:c16="http://schemas.microsoft.com/office/drawing/2014/chart" uri="{C3380CC4-5D6E-409C-BE32-E72D297353CC}">
              <c16:uniqueId val="{00000002-5A6D-4264-92F3-EEB89B8FDDB3}"/>
            </c:ext>
          </c:extLst>
        </c:ser>
        <c:ser>
          <c:idx val="2"/>
          <c:order val="2"/>
          <c:tx>
            <c:strRef>
              <c:f>'Further Analysis Sheet'!$C$21</c:f>
              <c:strCache>
                <c:ptCount val="1"/>
                <c:pt idx="0">
                  <c:v>Target -10%</c:v>
                </c:pt>
              </c:strCache>
            </c:strRef>
          </c:tx>
          <c:spPr>
            <a:ln>
              <a:solidFill>
                <a:srgbClr val="7030A0"/>
              </a:solidFill>
            </a:ln>
          </c:spPr>
          <c:marker>
            <c:symbol val="none"/>
          </c:marker>
          <c:cat>
            <c:strRef>
              <c:f>'Further Analysis Sheet'!$D$18:$O$18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Sheet'!$D$21:$O$21</c:f>
              <c:numCache>
                <c:formatCode>General</c:formatCode>
                <c:ptCount val="12"/>
                <c:pt idx="0">
                  <c:v>159.30000000000001</c:v>
                </c:pt>
                <c:pt idx="1">
                  <c:v>154.80000000000001</c:v>
                </c:pt>
                <c:pt idx="2">
                  <c:v>149.4</c:v>
                </c:pt>
                <c:pt idx="3">
                  <c:v>150.30000000000001</c:v>
                </c:pt>
                <c:pt idx="4">
                  <c:v>141.30000000000001</c:v>
                </c:pt>
                <c:pt idx="5">
                  <c:v>134.1</c:v>
                </c:pt>
                <c:pt idx="6">
                  <c:v>138.6</c:v>
                </c:pt>
                <c:pt idx="7">
                  <c:v>144.9</c:v>
                </c:pt>
                <c:pt idx="8">
                  <c:v>129.6</c:v>
                </c:pt>
                <c:pt idx="9">
                  <c:v>137.70000000000002</c:v>
                </c:pt>
                <c:pt idx="10">
                  <c:v>113.4</c:v>
                </c:pt>
                <c:pt idx="11">
                  <c:v>139.5</c:v>
                </c:pt>
              </c:numCache>
            </c:numRef>
          </c:val>
          <c:smooth val="0"/>
          <c:extLst>
            <c:ext xmlns:c16="http://schemas.microsoft.com/office/drawing/2014/chart" uri="{C3380CC4-5D6E-409C-BE32-E72D297353CC}">
              <c16:uniqueId val="{00000003-5A6D-4264-92F3-EEB89B8FDDB3}"/>
            </c:ext>
          </c:extLst>
        </c:ser>
        <c:dLbls>
          <c:showLegendKey val="0"/>
          <c:showVal val="0"/>
          <c:showCatName val="0"/>
          <c:showSerName val="0"/>
          <c:showPercent val="0"/>
          <c:showBubbleSize val="0"/>
        </c:dLbls>
        <c:marker val="1"/>
        <c:smooth val="0"/>
        <c:axId val="220489840"/>
        <c:axId val="217169920"/>
      </c:lineChart>
      <c:catAx>
        <c:axId val="220489840"/>
        <c:scaling>
          <c:orientation val="minMax"/>
        </c:scaling>
        <c:delete val="0"/>
        <c:axPos val="b"/>
        <c:numFmt formatCode="General" sourceLinked="0"/>
        <c:majorTickMark val="out"/>
        <c:minorTickMark val="none"/>
        <c:tickLblPos val="nextTo"/>
        <c:txPr>
          <a:bodyPr/>
          <a:lstStyle/>
          <a:p>
            <a:pPr>
              <a:defRPr sz="800"/>
            </a:pPr>
            <a:endParaRPr lang="en-US"/>
          </a:p>
        </c:txPr>
        <c:crossAx val="217169920"/>
        <c:crosses val="autoZero"/>
        <c:auto val="1"/>
        <c:lblAlgn val="ctr"/>
        <c:lblOffset val="100"/>
        <c:noMultiLvlLbl val="0"/>
      </c:catAx>
      <c:valAx>
        <c:axId val="217169920"/>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0489840"/>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0148849568862316E-2"/>
          <c:y val="2.723379168716375E-2"/>
          <c:w val="0.93933115488246144"/>
          <c:h val="0.8277046389780347"/>
        </c:manualLayout>
      </c:layout>
      <c:lineChart>
        <c:grouping val="standard"/>
        <c:varyColors val="0"/>
        <c:ser>
          <c:idx val="0"/>
          <c:order val="0"/>
          <c:tx>
            <c:strRef>
              <c:f>'Further Analysis Sheet'!$T$19</c:f>
              <c:strCache>
                <c:ptCount val="1"/>
                <c:pt idx="0">
                  <c:v>Target</c:v>
                </c:pt>
              </c:strCache>
            </c:strRef>
          </c:tx>
          <c:spPr>
            <a:ln>
              <a:solidFill>
                <a:srgbClr val="00B050"/>
              </a:solidFill>
              <a:prstDash val="sysDash"/>
            </a:ln>
          </c:spPr>
          <c:marker>
            <c:symbol val="none"/>
          </c:marker>
          <c:cat>
            <c:strRef>
              <c:f>'Further Analysis Sheet'!$U$18:$AF$18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Sheet'!$U$19:$AF$19</c:f>
              <c:numCache>
                <c:formatCode>General</c:formatCode>
                <c:ptCount val="12"/>
                <c:pt idx="0">
                  <c:v>177</c:v>
                </c:pt>
                <c:pt idx="1">
                  <c:v>349</c:v>
                </c:pt>
                <c:pt idx="2">
                  <c:v>515</c:v>
                </c:pt>
                <c:pt idx="3">
                  <c:v>682</c:v>
                </c:pt>
                <c:pt idx="4">
                  <c:v>839</c:v>
                </c:pt>
                <c:pt idx="5">
                  <c:v>988</c:v>
                </c:pt>
                <c:pt idx="6">
                  <c:v>1142</c:v>
                </c:pt>
                <c:pt idx="7">
                  <c:v>1303</c:v>
                </c:pt>
                <c:pt idx="8">
                  <c:v>1447</c:v>
                </c:pt>
                <c:pt idx="9">
                  <c:v>1600</c:v>
                </c:pt>
                <c:pt idx="10">
                  <c:v>1726</c:v>
                </c:pt>
                <c:pt idx="11">
                  <c:v>1881</c:v>
                </c:pt>
              </c:numCache>
            </c:numRef>
          </c:val>
          <c:smooth val="0"/>
          <c:extLst>
            <c:ext xmlns:c16="http://schemas.microsoft.com/office/drawing/2014/chart" uri="{C3380CC4-5D6E-409C-BE32-E72D297353CC}">
              <c16:uniqueId val="{00000000-12F9-477B-8523-4B2DC3E95EFB}"/>
            </c:ext>
          </c:extLst>
        </c:ser>
        <c:ser>
          <c:idx val="1"/>
          <c:order val="1"/>
          <c:tx>
            <c:strRef>
              <c:f>'Further Analysis Sheet'!$T$20</c:f>
              <c:strCache>
                <c:ptCount val="1"/>
                <c:pt idx="0">
                  <c:v>Target +10%</c:v>
                </c:pt>
              </c:strCache>
            </c:strRef>
          </c:tx>
          <c:spPr>
            <a:ln>
              <a:solidFill>
                <a:srgbClr val="C00000"/>
              </a:solidFill>
              <a:prstDash val="sysDash"/>
            </a:ln>
          </c:spPr>
          <c:marker>
            <c:symbol val="none"/>
          </c:marker>
          <c:cat>
            <c:strRef>
              <c:f>'Further Analysis Sheet'!$U$18:$AF$18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Sheet'!$U$20:$AF$20</c:f>
              <c:numCache>
                <c:formatCode>General</c:formatCode>
                <c:ptCount val="12"/>
                <c:pt idx="0">
                  <c:v>194.70000000000002</c:v>
                </c:pt>
                <c:pt idx="1">
                  <c:v>383.90000000000003</c:v>
                </c:pt>
                <c:pt idx="2">
                  <c:v>566.5</c:v>
                </c:pt>
                <c:pt idx="3">
                  <c:v>750.2</c:v>
                </c:pt>
                <c:pt idx="4">
                  <c:v>922.90000000000009</c:v>
                </c:pt>
                <c:pt idx="5">
                  <c:v>1086.8000000000002</c:v>
                </c:pt>
                <c:pt idx="6">
                  <c:v>1256.2000000000003</c:v>
                </c:pt>
                <c:pt idx="7">
                  <c:v>1433.3000000000002</c:v>
                </c:pt>
                <c:pt idx="8">
                  <c:v>1591.7000000000003</c:v>
                </c:pt>
                <c:pt idx="9">
                  <c:v>1760.0000000000002</c:v>
                </c:pt>
                <c:pt idx="10">
                  <c:v>1898.6000000000004</c:v>
                </c:pt>
                <c:pt idx="11">
                  <c:v>2069.1000000000004</c:v>
                </c:pt>
              </c:numCache>
            </c:numRef>
          </c:val>
          <c:smooth val="0"/>
          <c:extLst>
            <c:ext xmlns:c16="http://schemas.microsoft.com/office/drawing/2014/chart" uri="{C3380CC4-5D6E-409C-BE32-E72D297353CC}">
              <c16:uniqueId val="{00000001-12F9-477B-8523-4B2DC3E95EFB}"/>
            </c:ext>
          </c:extLst>
        </c:ser>
        <c:ser>
          <c:idx val="2"/>
          <c:order val="2"/>
          <c:tx>
            <c:strRef>
              <c:f>'Further Analysis Sheet'!$T$21</c:f>
              <c:strCache>
                <c:ptCount val="1"/>
                <c:pt idx="0">
                  <c:v>Target -10%</c:v>
                </c:pt>
              </c:strCache>
            </c:strRef>
          </c:tx>
          <c:spPr>
            <a:ln>
              <a:solidFill>
                <a:srgbClr val="7030A0"/>
              </a:solidFill>
              <a:prstDash val="sysDash"/>
            </a:ln>
          </c:spPr>
          <c:marker>
            <c:symbol val="none"/>
          </c:marker>
          <c:cat>
            <c:strRef>
              <c:f>'Further Analysis Sheet'!$U$18:$AF$18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Sheet'!$U$21:$AF$21</c:f>
              <c:numCache>
                <c:formatCode>General</c:formatCode>
                <c:ptCount val="12"/>
                <c:pt idx="0">
                  <c:v>159.30000000000001</c:v>
                </c:pt>
                <c:pt idx="1">
                  <c:v>314.10000000000002</c:v>
                </c:pt>
                <c:pt idx="2">
                  <c:v>463.5</c:v>
                </c:pt>
                <c:pt idx="3">
                  <c:v>613.79999999999995</c:v>
                </c:pt>
                <c:pt idx="4">
                  <c:v>755.09999999999991</c:v>
                </c:pt>
                <c:pt idx="5">
                  <c:v>889.19999999999993</c:v>
                </c:pt>
                <c:pt idx="6">
                  <c:v>1027.8</c:v>
                </c:pt>
                <c:pt idx="7">
                  <c:v>1172.7</c:v>
                </c:pt>
                <c:pt idx="8">
                  <c:v>1302.3</c:v>
                </c:pt>
                <c:pt idx="9">
                  <c:v>1440</c:v>
                </c:pt>
                <c:pt idx="10">
                  <c:v>1553.4</c:v>
                </c:pt>
                <c:pt idx="11">
                  <c:v>1692.9</c:v>
                </c:pt>
              </c:numCache>
            </c:numRef>
          </c:val>
          <c:smooth val="0"/>
          <c:extLst>
            <c:ext xmlns:c16="http://schemas.microsoft.com/office/drawing/2014/chart" uri="{C3380CC4-5D6E-409C-BE32-E72D297353CC}">
              <c16:uniqueId val="{00000002-12F9-477B-8523-4B2DC3E95EFB}"/>
            </c:ext>
          </c:extLst>
        </c:ser>
        <c:ser>
          <c:idx val="3"/>
          <c:order val="3"/>
          <c:tx>
            <c:strRef>
              <c:f>'Further Analysis Sheet'!$T$22</c:f>
              <c:strCache>
                <c:ptCount val="1"/>
                <c:pt idx="0">
                  <c:v>Performance</c:v>
                </c:pt>
              </c:strCache>
            </c:strRef>
          </c:tx>
          <c:spPr>
            <a:ln>
              <a:solidFill>
                <a:schemeClr val="tx1"/>
              </a:solidFill>
            </a:ln>
          </c:spPr>
          <c:marker>
            <c:symbol val="none"/>
          </c:marker>
          <c:cat>
            <c:strRef>
              <c:f>'Further Analysis Sheet'!$U$18:$AF$18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Sheet'!$U$22:$AF$22</c:f>
              <c:numCache>
                <c:formatCode>General</c:formatCode>
                <c:ptCount val="12"/>
                <c:pt idx="0">
                  <c:v>128</c:v>
                </c:pt>
                <c:pt idx="1">
                  <c:v>281</c:v>
                </c:pt>
                <c:pt idx="2">
                  <c:v>406</c:v>
                </c:pt>
                <c:pt idx="3">
                  <c:v>537</c:v>
                </c:pt>
                <c:pt idx="4">
                  <c:v>685</c:v>
                </c:pt>
                <c:pt idx="5">
                  <c:v>818</c:v>
                </c:pt>
                <c:pt idx="6">
                  <c:v>818</c:v>
                </c:pt>
                <c:pt idx="7">
                  <c:v>818</c:v>
                </c:pt>
                <c:pt idx="8">
                  <c:v>818</c:v>
                </c:pt>
                <c:pt idx="9">
                  <c:v>818</c:v>
                </c:pt>
                <c:pt idx="10">
                  <c:v>818</c:v>
                </c:pt>
                <c:pt idx="11">
                  <c:v>818</c:v>
                </c:pt>
              </c:numCache>
            </c:numRef>
          </c:val>
          <c:smooth val="0"/>
          <c:extLst>
            <c:ext xmlns:c16="http://schemas.microsoft.com/office/drawing/2014/chart" uri="{C3380CC4-5D6E-409C-BE32-E72D297353CC}">
              <c16:uniqueId val="{00000003-12F9-477B-8523-4B2DC3E95EFB}"/>
            </c:ext>
          </c:extLst>
        </c:ser>
        <c:dLbls>
          <c:showLegendKey val="0"/>
          <c:showVal val="0"/>
          <c:showCatName val="0"/>
          <c:showSerName val="0"/>
          <c:showPercent val="0"/>
          <c:showBubbleSize val="0"/>
        </c:dLbls>
        <c:smooth val="0"/>
        <c:axId val="223248984"/>
        <c:axId val="223249376"/>
      </c:lineChart>
      <c:catAx>
        <c:axId val="223248984"/>
        <c:scaling>
          <c:orientation val="minMax"/>
        </c:scaling>
        <c:delete val="0"/>
        <c:axPos val="b"/>
        <c:numFmt formatCode="General" sourceLinked="0"/>
        <c:majorTickMark val="out"/>
        <c:minorTickMark val="none"/>
        <c:tickLblPos val="nextTo"/>
        <c:txPr>
          <a:bodyPr/>
          <a:lstStyle/>
          <a:p>
            <a:pPr>
              <a:defRPr sz="800"/>
            </a:pPr>
            <a:endParaRPr lang="en-US"/>
          </a:p>
        </c:txPr>
        <c:crossAx val="223249376"/>
        <c:crosses val="autoZero"/>
        <c:auto val="1"/>
        <c:lblAlgn val="ctr"/>
        <c:lblOffset val="100"/>
        <c:noMultiLvlLbl val="0"/>
      </c:catAx>
      <c:valAx>
        <c:axId val="223249376"/>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248984"/>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a:pPr>
          <a:endParaRPr lang="en-US"/>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968362177484842E-2"/>
          <c:y val="2.723379168716375E-2"/>
          <c:w val="0.95003163782251521"/>
          <c:h val="0.81812293565087013"/>
        </c:manualLayout>
      </c:layout>
      <c:barChart>
        <c:barDir val="col"/>
        <c:grouping val="clustered"/>
        <c:varyColors val="0"/>
        <c:ser>
          <c:idx val="3"/>
          <c:order val="3"/>
          <c:tx>
            <c:strRef>
              <c:f>'Further Analysis Sheet'!$C$57</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Sheet'!$D$53:$O$53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Sheet'!$D$57:$O$57</c:f>
              <c:numCache>
                <c:formatCode>General</c:formatCode>
                <c:ptCount val="12"/>
                <c:pt idx="0">
                  <c:v>46</c:v>
                </c:pt>
                <c:pt idx="1">
                  <c:v>62</c:v>
                </c:pt>
                <c:pt idx="2">
                  <c:v>52</c:v>
                </c:pt>
                <c:pt idx="3">
                  <c:v>68</c:v>
                </c:pt>
                <c:pt idx="4">
                  <c:v>47</c:v>
                </c:pt>
                <c:pt idx="5">
                  <c:v>52</c:v>
                </c:pt>
                <c:pt idx="6">
                  <c:v>0</c:v>
                </c:pt>
                <c:pt idx="7">
                  <c:v>0</c:v>
                </c:pt>
                <c:pt idx="8">
                  <c:v>0</c:v>
                </c:pt>
                <c:pt idx="9">
                  <c:v>0</c:v>
                </c:pt>
                <c:pt idx="10">
                  <c:v>0</c:v>
                </c:pt>
                <c:pt idx="11">
                  <c:v>0</c:v>
                </c:pt>
              </c:numCache>
            </c:numRef>
          </c:val>
          <c:extLst>
            <c:ext xmlns:c16="http://schemas.microsoft.com/office/drawing/2014/chart" uri="{C3380CC4-5D6E-409C-BE32-E72D297353CC}">
              <c16:uniqueId val="{00000000-F858-4070-8127-6DBECFD71734}"/>
            </c:ext>
          </c:extLst>
        </c:ser>
        <c:dLbls>
          <c:showLegendKey val="0"/>
          <c:showVal val="0"/>
          <c:showCatName val="0"/>
          <c:showSerName val="0"/>
          <c:showPercent val="0"/>
          <c:showBubbleSize val="0"/>
        </c:dLbls>
        <c:gapWidth val="60"/>
        <c:axId val="248580888"/>
        <c:axId val="248581280"/>
      </c:barChart>
      <c:lineChart>
        <c:grouping val="standard"/>
        <c:varyColors val="0"/>
        <c:ser>
          <c:idx val="0"/>
          <c:order val="0"/>
          <c:tx>
            <c:strRef>
              <c:f>'Further Analysis Sheet'!$C$54</c:f>
              <c:strCache>
                <c:ptCount val="1"/>
                <c:pt idx="0">
                  <c:v>Target</c:v>
                </c:pt>
              </c:strCache>
            </c:strRef>
          </c:tx>
          <c:spPr>
            <a:ln>
              <a:solidFill>
                <a:srgbClr val="00B050"/>
              </a:solidFill>
            </a:ln>
          </c:spPr>
          <c:marker>
            <c:symbol val="none"/>
          </c:marker>
          <c:cat>
            <c:strRef>
              <c:f>'Further Analysis Sheet'!$D$53:$O$53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Sheet'!$D$54:$O$54</c:f>
              <c:numCache>
                <c:formatCode>General</c:formatCode>
                <c:ptCount val="12"/>
                <c:pt idx="0">
                  <c:v>72</c:v>
                </c:pt>
                <c:pt idx="1">
                  <c:v>73</c:v>
                </c:pt>
                <c:pt idx="2">
                  <c:v>72</c:v>
                </c:pt>
                <c:pt idx="3">
                  <c:v>64</c:v>
                </c:pt>
                <c:pt idx="4">
                  <c:v>57</c:v>
                </c:pt>
                <c:pt idx="5">
                  <c:v>59</c:v>
                </c:pt>
                <c:pt idx="6">
                  <c:v>68</c:v>
                </c:pt>
                <c:pt idx="7">
                  <c:v>65</c:v>
                </c:pt>
                <c:pt idx="8">
                  <c:v>66</c:v>
                </c:pt>
                <c:pt idx="9">
                  <c:v>68</c:v>
                </c:pt>
                <c:pt idx="10">
                  <c:v>55</c:v>
                </c:pt>
                <c:pt idx="11">
                  <c:v>70</c:v>
                </c:pt>
              </c:numCache>
            </c:numRef>
          </c:val>
          <c:smooth val="0"/>
          <c:extLst>
            <c:ext xmlns:c16="http://schemas.microsoft.com/office/drawing/2014/chart" uri="{C3380CC4-5D6E-409C-BE32-E72D297353CC}">
              <c16:uniqueId val="{00000001-F858-4070-8127-6DBECFD71734}"/>
            </c:ext>
          </c:extLst>
        </c:ser>
        <c:ser>
          <c:idx val="1"/>
          <c:order val="1"/>
          <c:tx>
            <c:strRef>
              <c:f>'Further Analysis Sheet'!$C$55</c:f>
              <c:strCache>
                <c:ptCount val="1"/>
                <c:pt idx="0">
                  <c:v>Target +10%</c:v>
                </c:pt>
              </c:strCache>
            </c:strRef>
          </c:tx>
          <c:spPr>
            <a:ln>
              <a:solidFill>
                <a:srgbClr val="C00000"/>
              </a:solidFill>
            </a:ln>
          </c:spPr>
          <c:marker>
            <c:symbol val="none"/>
          </c:marker>
          <c:cat>
            <c:strRef>
              <c:f>'Further Analysis Sheet'!$D$53:$O$53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Sheet'!$D$55:$O$55</c:f>
              <c:numCache>
                <c:formatCode>General</c:formatCode>
                <c:ptCount val="12"/>
                <c:pt idx="0">
                  <c:v>79.2</c:v>
                </c:pt>
                <c:pt idx="1">
                  <c:v>80.300000000000011</c:v>
                </c:pt>
                <c:pt idx="2">
                  <c:v>79.2</c:v>
                </c:pt>
                <c:pt idx="3">
                  <c:v>70.400000000000006</c:v>
                </c:pt>
                <c:pt idx="4">
                  <c:v>62.7</c:v>
                </c:pt>
                <c:pt idx="5">
                  <c:v>64.900000000000006</c:v>
                </c:pt>
                <c:pt idx="6">
                  <c:v>74.800000000000011</c:v>
                </c:pt>
                <c:pt idx="7">
                  <c:v>71.5</c:v>
                </c:pt>
                <c:pt idx="8">
                  <c:v>72.600000000000009</c:v>
                </c:pt>
                <c:pt idx="9">
                  <c:v>74.800000000000011</c:v>
                </c:pt>
                <c:pt idx="10">
                  <c:v>60.500000000000007</c:v>
                </c:pt>
                <c:pt idx="11">
                  <c:v>77</c:v>
                </c:pt>
              </c:numCache>
            </c:numRef>
          </c:val>
          <c:smooth val="0"/>
          <c:extLst>
            <c:ext xmlns:c16="http://schemas.microsoft.com/office/drawing/2014/chart" uri="{C3380CC4-5D6E-409C-BE32-E72D297353CC}">
              <c16:uniqueId val="{00000002-F858-4070-8127-6DBECFD71734}"/>
            </c:ext>
          </c:extLst>
        </c:ser>
        <c:ser>
          <c:idx val="2"/>
          <c:order val="2"/>
          <c:tx>
            <c:strRef>
              <c:f>'Further Analysis Sheet'!$C$56</c:f>
              <c:strCache>
                <c:ptCount val="1"/>
                <c:pt idx="0">
                  <c:v>Target -10%</c:v>
                </c:pt>
              </c:strCache>
            </c:strRef>
          </c:tx>
          <c:spPr>
            <a:ln>
              <a:solidFill>
                <a:srgbClr val="7030A0"/>
              </a:solidFill>
            </a:ln>
          </c:spPr>
          <c:marker>
            <c:symbol val="none"/>
          </c:marker>
          <c:cat>
            <c:strRef>
              <c:f>'Further Analysis Sheet'!$D$53:$O$53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Sheet'!$D$56:$O$56</c:f>
              <c:numCache>
                <c:formatCode>General</c:formatCode>
                <c:ptCount val="12"/>
                <c:pt idx="0">
                  <c:v>64.8</c:v>
                </c:pt>
                <c:pt idx="1">
                  <c:v>65.7</c:v>
                </c:pt>
                <c:pt idx="2">
                  <c:v>64.8</c:v>
                </c:pt>
                <c:pt idx="3">
                  <c:v>57.6</c:v>
                </c:pt>
                <c:pt idx="4">
                  <c:v>51.300000000000004</c:v>
                </c:pt>
                <c:pt idx="5">
                  <c:v>53.1</c:v>
                </c:pt>
                <c:pt idx="6">
                  <c:v>61.2</c:v>
                </c:pt>
                <c:pt idx="7">
                  <c:v>58.5</c:v>
                </c:pt>
                <c:pt idx="8">
                  <c:v>59.4</c:v>
                </c:pt>
                <c:pt idx="9">
                  <c:v>61.2</c:v>
                </c:pt>
                <c:pt idx="10">
                  <c:v>49.5</c:v>
                </c:pt>
                <c:pt idx="11">
                  <c:v>63</c:v>
                </c:pt>
              </c:numCache>
            </c:numRef>
          </c:val>
          <c:smooth val="0"/>
          <c:extLst>
            <c:ext xmlns:c16="http://schemas.microsoft.com/office/drawing/2014/chart" uri="{C3380CC4-5D6E-409C-BE32-E72D297353CC}">
              <c16:uniqueId val="{00000003-F858-4070-8127-6DBECFD71734}"/>
            </c:ext>
          </c:extLst>
        </c:ser>
        <c:dLbls>
          <c:showLegendKey val="0"/>
          <c:showVal val="0"/>
          <c:showCatName val="0"/>
          <c:showSerName val="0"/>
          <c:showPercent val="0"/>
          <c:showBubbleSize val="0"/>
        </c:dLbls>
        <c:marker val="1"/>
        <c:smooth val="0"/>
        <c:axId val="248580888"/>
        <c:axId val="248581280"/>
      </c:lineChart>
      <c:catAx>
        <c:axId val="248580888"/>
        <c:scaling>
          <c:orientation val="minMax"/>
        </c:scaling>
        <c:delete val="0"/>
        <c:axPos val="b"/>
        <c:numFmt formatCode="General" sourceLinked="0"/>
        <c:majorTickMark val="out"/>
        <c:minorTickMark val="none"/>
        <c:tickLblPos val="nextTo"/>
        <c:txPr>
          <a:bodyPr/>
          <a:lstStyle/>
          <a:p>
            <a:pPr>
              <a:defRPr sz="800"/>
            </a:pPr>
            <a:endParaRPr lang="en-US"/>
          </a:p>
        </c:txPr>
        <c:crossAx val="248581280"/>
        <c:crosses val="autoZero"/>
        <c:auto val="1"/>
        <c:lblAlgn val="ctr"/>
        <c:lblOffset val="100"/>
        <c:noMultiLvlLbl val="0"/>
      </c:catAx>
      <c:valAx>
        <c:axId val="248581280"/>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48580888"/>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0C31AA-CC39-4569-B842-20C63A8109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1724</Words>
  <Characters>9831</Characters>
  <Application>Microsoft Office Word</Application>
  <DocSecurity>0</DocSecurity>
  <Lines>81</Lines>
  <Paragraphs>23</Paragraphs>
  <ScaleCrop>false</ScaleCrop>
  <HeadingPairs>
    <vt:vector size="2" baseType="variant">
      <vt:variant>
        <vt:lpstr>Title</vt:lpstr>
      </vt:variant>
      <vt:variant>
        <vt:i4>1</vt:i4>
      </vt:variant>
    </vt:vector>
  </HeadingPairs>
  <TitlesOfParts>
    <vt:vector size="1" baseType="lpstr">
      <vt:lpstr/>
    </vt:vector>
  </TitlesOfParts>
  <Company>Merseyside Fire and Rescue Service</Company>
  <LinksUpToDate>false</LinksUpToDate>
  <CharactersWithSpaces>11532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Nash, Sue</dc:creator>
  <cp:lastModifiedBy>Sutton, Jackie</cp:lastModifiedBy>
  <cp:revision>2</cp:revision>
  <dcterms:created xsi:type="dcterms:W3CDTF">2024-12-18T13:45:00Z</dcterms:created>
  <dcterms:modified xsi:type="dcterms:W3CDTF">2024-12-18T13:45:00Z</dcterms:modified>
</cp:coreProperties>
</file>